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5754B8" w14:textId="77777777" w:rsidR="0075283B" w:rsidRDefault="00000000">
      <w:pPr>
        <w:spacing w:before="480" w:after="120"/>
        <w:jc w:val="center"/>
      </w:pPr>
      <w:r>
        <w:rPr>
          <w:b/>
          <w:bCs/>
          <w:color w:val="1F4E79"/>
          <w:sz w:val="40"/>
          <w:szCs w:val="40"/>
        </w:rPr>
        <w:t>Descriptive Analysis of Prasugrel Adverse Events</w:t>
      </w:r>
    </w:p>
    <w:p w14:paraId="045A02D2" w14:textId="77777777" w:rsidR="0075283B" w:rsidRDefault="00000000">
      <w:pPr>
        <w:spacing w:before="80" w:after="80"/>
        <w:jc w:val="center"/>
      </w:pPr>
      <w:r>
        <w:rPr>
          <w:b/>
          <w:bCs/>
          <w:color w:val="2E75B6"/>
          <w:sz w:val="30"/>
          <w:szCs w:val="30"/>
        </w:rPr>
        <w:t>Reported in the FDA Adverse Event Reporting System (FAERS)</w:t>
      </w:r>
    </w:p>
    <w:p w14:paraId="0C2ADC07" w14:textId="77777777" w:rsidR="0075283B" w:rsidRDefault="00000000">
      <w:pPr>
        <w:spacing w:before="80" w:after="80"/>
        <w:jc w:val="center"/>
      </w:pPr>
      <w:r>
        <w:rPr>
          <w:i/>
          <w:iCs/>
          <w:color w:val="595959"/>
          <w:sz w:val="24"/>
          <w:szCs w:val="24"/>
        </w:rPr>
        <w:t>January 2009 – March 2026 (n = 1,240 Reports)</w:t>
      </w:r>
    </w:p>
    <w:p w14:paraId="6347B2AF" w14:textId="77777777" w:rsidR="0075283B" w:rsidRDefault="0075283B">
      <w:pPr>
        <w:spacing w:before="40" w:after="40"/>
      </w:pPr>
    </w:p>
    <w:p w14:paraId="509EE1FA" w14:textId="77777777" w:rsidR="0075283B" w:rsidRDefault="00000000">
      <w:pPr>
        <w:pBdr>
          <w:bottom w:val="single" w:sz="6" w:space="1" w:color="1F4E79"/>
        </w:pBdr>
        <w:spacing w:before="40" w:after="320"/>
        <w:jc w:val="center"/>
        <w:rPr>
          <w:color w:val="595959"/>
        </w:rPr>
      </w:pPr>
      <w:r>
        <w:rPr>
          <w:color w:val="595959"/>
        </w:rPr>
        <w:t>A Real-World Pharmacovigilance Study</w:t>
      </w:r>
    </w:p>
    <w:p w14:paraId="1F5F527A" w14:textId="77777777" w:rsidR="00A674A6" w:rsidRDefault="00A674A6">
      <w:pPr>
        <w:pBdr>
          <w:bottom w:val="single" w:sz="6" w:space="1" w:color="1F4E79"/>
        </w:pBdr>
        <w:spacing w:before="40" w:after="320"/>
        <w:jc w:val="center"/>
        <w:rPr>
          <w:color w:val="595959"/>
        </w:rPr>
      </w:pPr>
    </w:p>
    <w:p w14:paraId="5CF498D8" w14:textId="77777777" w:rsidR="00A674A6" w:rsidRDefault="00A674A6" w:rsidP="00A674A6">
      <w:pPr>
        <w:spacing w:before="80" w:after="60"/>
        <w:jc w:val="center"/>
      </w:pPr>
      <w:r>
        <w:rPr>
          <w:b/>
          <w:bCs/>
          <w:color w:val="333333"/>
          <w:sz w:val="24"/>
          <w:szCs w:val="24"/>
        </w:rPr>
        <w:t>Nehad Jaser Ahmed</w:t>
      </w:r>
    </w:p>
    <w:p w14:paraId="2E9873D5" w14:textId="77777777" w:rsidR="00A674A6" w:rsidRDefault="00A674A6" w:rsidP="00A674A6">
      <w:pPr>
        <w:spacing w:before="40" w:after="40"/>
        <w:jc w:val="center"/>
      </w:pPr>
      <w:r>
        <w:rPr>
          <w:color w:val="555555"/>
          <w:sz w:val="20"/>
          <w:szCs w:val="20"/>
        </w:rPr>
        <w:t>Department of Clinical Pharmacy, College of Pharmacy,</w:t>
      </w:r>
    </w:p>
    <w:p w14:paraId="29A0724B" w14:textId="77777777" w:rsidR="00A674A6" w:rsidRDefault="00A674A6" w:rsidP="00A674A6">
      <w:pPr>
        <w:spacing w:after="100"/>
        <w:jc w:val="center"/>
      </w:pPr>
      <w:r>
        <w:rPr>
          <w:color w:val="555555"/>
          <w:sz w:val="20"/>
          <w:szCs w:val="20"/>
        </w:rPr>
        <w:t>Prince Sattam Bin Abdulaziz University, Alkharj 16278, Saudi Arabia</w:t>
      </w:r>
    </w:p>
    <w:p w14:paraId="0B4D7EC4" w14:textId="77777777" w:rsidR="00A674A6" w:rsidRDefault="00A674A6" w:rsidP="00A674A6">
      <w:pPr>
        <w:spacing w:before="60" w:after="60"/>
        <w:jc w:val="center"/>
        <w:rPr>
          <w:color w:val="555555"/>
          <w:sz w:val="21"/>
          <w:szCs w:val="21"/>
        </w:rPr>
      </w:pPr>
    </w:p>
    <w:p w14:paraId="3704DEAD" w14:textId="77777777" w:rsidR="00A674A6" w:rsidRDefault="00A674A6" w:rsidP="00A674A6">
      <w:pPr>
        <w:spacing w:before="60" w:after="60"/>
        <w:jc w:val="center"/>
        <w:rPr>
          <w:color w:val="555555"/>
          <w:sz w:val="21"/>
          <w:szCs w:val="21"/>
        </w:rPr>
      </w:pPr>
    </w:p>
    <w:p w14:paraId="50DF5289" w14:textId="77777777" w:rsidR="00A674A6" w:rsidRDefault="00A674A6" w:rsidP="00A674A6">
      <w:pPr>
        <w:spacing w:before="80" w:after="80"/>
        <w:rPr>
          <w:b/>
          <w:bCs/>
          <w:sz w:val="21"/>
          <w:szCs w:val="21"/>
        </w:rPr>
      </w:pPr>
    </w:p>
    <w:p w14:paraId="226E3ABF" w14:textId="77777777" w:rsidR="00A674A6" w:rsidRDefault="00A674A6" w:rsidP="00A674A6">
      <w:pPr>
        <w:spacing w:before="80" w:after="80"/>
      </w:pPr>
      <w:r>
        <w:rPr>
          <w:b/>
          <w:bCs/>
          <w:sz w:val="21"/>
          <w:szCs w:val="21"/>
        </w:rPr>
        <w:t xml:space="preserve">Acknowledgments: </w:t>
      </w:r>
      <w:r>
        <w:rPr>
          <w:i/>
          <w:iCs/>
          <w:sz w:val="21"/>
          <w:szCs w:val="21"/>
        </w:rPr>
        <w:t>Artificial intelligence (AI) tools were used to assist with grammatical refinement and language editing. Results, analysis, and content development were conducted entirely by the author.</w:t>
      </w:r>
    </w:p>
    <w:p w14:paraId="79D07737" w14:textId="77777777" w:rsidR="00A674A6" w:rsidRDefault="00A674A6" w:rsidP="00A674A6">
      <w:pPr>
        <w:spacing w:before="60" w:after="60"/>
      </w:pPr>
    </w:p>
    <w:p w14:paraId="4D7A8446" w14:textId="77777777" w:rsidR="00A674A6" w:rsidRDefault="00A674A6" w:rsidP="00A674A6"/>
    <w:p w14:paraId="431D7A96" w14:textId="77777777" w:rsidR="00A674A6" w:rsidRDefault="00A674A6">
      <w:pPr>
        <w:pBdr>
          <w:bottom w:val="single" w:sz="6" w:space="1" w:color="1F4E79"/>
        </w:pBdr>
        <w:spacing w:before="40" w:after="320"/>
        <w:jc w:val="center"/>
      </w:pPr>
    </w:p>
    <w:p w14:paraId="7A501E11" w14:textId="77777777" w:rsidR="0075283B" w:rsidRDefault="00000000">
      <w:pPr>
        <w:pStyle w:val="Heading1"/>
        <w:pBdr>
          <w:bottom w:val="single" w:sz="4" w:space="1" w:color="2E75B6"/>
        </w:pBdr>
      </w:pPr>
      <w:r>
        <w:t>Abstract</w:t>
      </w:r>
    </w:p>
    <w:p w14:paraId="6E9E61BE" w14:textId="77777777" w:rsidR="0075283B" w:rsidRDefault="00000000">
      <w:pPr>
        <w:spacing w:before="80" w:after="120" w:line="276" w:lineRule="auto"/>
        <w:jc w:val="both"/>
      </w:pPr>
      <w:r>
        <w:rPr>
          <w:b/>
          <w:bCs/>
        </w:rPr>
        <w:t xml:space="preserve">Background: </w:t>
      </w:r>
      <w:r>
        <w:t>Prasugrel (Effient®) is a third-generation thienopyridine P2Y12 receptor antagonist indicated for reduction of thrombotic cardiovascular events in patients with acute coronary syndromes (ACS) undergoing percutaneous coronary intervention (PCI). While the TRITON-TIMI 38 landmark trial established prasugrel's superior efficacy over clopidogrel, its real-world post-marketing safety profile warrants ongoing pharmacovigilance surveillance.</w:t>
      </w:r>
    </w:p>
    <w:p w14:paraId="4D18A1B2" w14:textId="77777777" w:rsidR="0075283B" w:rsidRDefault="00000000">
      <w:pPr>
        <w:spacing w:before="80" w:after="120" w:line="276" w:lineRule="auto"/>
        <w:jc w:val="both"/>
      </w:pPr>
      <w:r>
        <w:rPr>
          <w:b/>
          <w:bCs/>
        </w:rPr>
        <w:t xml:space="preserve">Objective: </w:t>
      </w:r>
      <w:r>
        <w:t>To characterize the spectrum, temporal distribution, and demographic patterns of adverse events (AEs) associated with prasugrel in the FDA Adverse Event Reporting System (FAERS) from its first post-marketing year through March 30, 2026.</w:t>
      </w:r>
    </w:p>
    <w:p w14:paraId="45000441" w14:textId="77777777" w:rsidR="0075283B" w:rsidRDefault="00000000">
      <w:pPr>
        <w:spacing w:before="80" w:after="120" w:line="276" w:lineRule="auto"/>
        <w:jc w:val="both"/>
      </w:pPr>
      <w:r>
        <w:rPr>
          <w:b/>
          <w:bCs/>
        </w:rPr>
        <w:t xml:space="preserve">Methods: </w:t>
      </w:r>
      <w:r>
        <w:t>A retrospective descriptive analysis was conducted on 1,240 FAERS cases involving prasugrel as a primary suspect drug. Cases were stratified by year of report, reported adverse event term, age group, sex, and reporter type.</w:t>
      </w:r>
    </w:p>
    <w:p w14:paraId="2CAFFC3E" w14:textId="77777777" w:rsidR="0075283B" w:rsidRDefault="00000000">
      <w:pPr>
        <w:spacing w:before="80" w:after="120" w:line="276" w:lineRule="auto"/>
        <w:jc w:val="both"/>
      </w:pPr>
      <w:r>
        <w:rPr>
          <w:b/>
          <w:bCs/>
        </w:rPr>
        <w:t xml:space="preserve">Results: </w:t>
      </w:r>
      <w:r>
        <w:t xml:space="preserve">The 1,240 adverse event reports spanned 2009–2026. The majority of cases were submitted by healthcare professionals (83.63%). Males accounted for 57.66% and adults aged 65–85 years constituted the largest age cohort (40.65%). The most frequent adverse events included myocardial infarction (5.48%), acute myocardial infarction (5.08%), chest pain (4.76%), drug ineffective (4.60%), and gastrointestinal haemorrhage (4.44%). Hemorrhagic events—including </w:t>
      </w:r>
      <w:r>
        <w:lastRenderedPageBreak/>
        <w:t>gastrointestinal haemorrhage, epistaxis, haematoma, and cerebral haemorrhage—collectively represented a substantial proportion of the safety signal.</w:t>
      </w:r>
    </w:p>
    <w:p w14:paraId="766CAD10" w14:textId="77777777" w:rsidR="0075283B" w:rsidRDefault="00000000">
      <w:pPr>
        <w:spacing w:before="80" w:after="120" w:line="276" w:lineRule="auto"/>
        <w:jc w:val="both"/>
      </w:pPr>
      <w:r>
        <w:rPr>
          <w:b/>
          <w:bCs/>
        </w:rPr>
        <w:t xml:space="preserve">Conclusion: </w:t>
      </w:r>
      <w:r>
        <w:t>Real-world FAERS data corroborate and extend clinical trial findings, confirming bleeding as the dominant safety concern with prasugrel and highlighting additional signals warranting further evaluation, including drug-drug interactions and off-label use.</w:t>
      </w:r>
    </w:p>
    <w:p w14:paraId="42383726" w14:textId="77777777" w:rsidR="0075283B" w:rsidRDefault="00000000">
      <w:pPr>
        <w:spacing w:before="80" w:after="120" w:line="276" w:lineRule="auto"/>
        <w:jc w:val="both"/>
      </w:pPr>
      <w:r>
        <w:rPr>
          <w:b/>
          <w:bCs/>
        </w:rPr>
        <w:t xml:space="preserve">Keywords: </w:t>
      </w:r>
      <w:r>
        <w:t>Prasugrel, FAERS, pharmacovigilance, adverse events, antiplatelet therapy, bleeding, thienopyridine, P2Y12 inhibitor</w:t>
      </w:r>
    </w:p>
    <w:p w14:paraId="01A87BDC" w14:textId="77777777" w:rsidR="0075283B" w:rsidRDefault="00000000">
      <w:pPr>
        <w:pStyle w:val="Heading1"/>
        <w:pBdr>
          <w:bottom w:val="single" w:sz="4" w:space="1" w:color="2E75B6"/>
        </w:pBdr>
      </w:pPr>
      <w:r>
        <w:t>1. Introduction</w:t>
      </w:r>
    </w:p>
    <w:p w14:paraId="37A44C3D" w14:textId="77777777" w:rsidR="0075283B" w:rsidRDefault="00000000">
      <w:pPr>
        <w:spacing w:before="80" w:after="120" w:line="276" w:lineRule="auto"/>
        <w:jc w:val="both"/>
      </w:pPr>
      <w:r>
        <w:t>Antiplatelet therapy is a cornerstone of management for patients with acute coronary syndromes (ACS) and those undergoing percutaneous coronary intervention (PCI). Dual antiplatelet therapy (DAPT) combining aspirin with a P2Y12 receptor inhibitor reduces recurrent ischemic events, stent thrombosis, and cardiovascular mortality.</w:t>
      </w:r>
      <w:r>
        <w:rPr>
          <w:sz w:val="18"/>
          <w:szCs w:val="18"/>
          <w:vertAlign w:val="superscript"/>
        </w:rPr>
        <w:t>1</w:t>
      </w:r>
    </w:p>
    <w:p w14:paraId="350D852C" w14:textId="77777777" w:rsidR="0075283B" w:rsidRDefault="00000000">
      <w:pPr>
        <w:spacing w:before="80" w:after="120" w:line="276" w:lineRule="auto"/>
        <w:jc w:val="both"/>
      </w:pPr>
      <w:r>
        <w:t>Prasugrel (brand name: Effient®) is a third-generation thienopyridine that irreversibly inhibits the platelet ADP receptor P2Y12. Unlike clopidogrel, prasugrel is not subject to the pharmacogenomic variability associated with CYP2C19 polymorphisms, resulting in a more predictable and potent antiplatelet effect.</w:t>
      </w:r>
      <w:r>
        <w:rPr>
          <w:sz w:val="18"/>
          <w:szCs w:val="18"/>
          <w:vertAlign w:val="superscript"/>
        </w:rPr>
        <w:t>2,3</w:t>
      </w:r>
      <w:r>
        <w:t xml:space="preserve"> The drug received FDA approval in July 2009 following the landmark TRITON-TIMI 38 trial, which demonstrated significantly reduced rates of ischemic events—including a 52% reduction in stent thrombosis—compared with clopidogrel, albeit at the cost of a 32% increase in major non-CABG bleeding.</w:t>
      </w:r>
      <w:r>
        <w:rPr>
          <w:sz w:val="18"/>
          <w:szCs w:val="18"/>
          <w:vertAlign w:val="superscript"/>
        </w:rPr>
        <w:t>4</w:t>
      </w:r>
    </w:p>
    <w:p w14:paraId="62BAB316" w14:textId="77777777" w:rsidR="0075283B" w:rsidRDefault="00000000">
      <w:pPr>
        <w:spacing w:before="80" w:after="120" w:line="276" w:lineRule="auto"/>
        <w:jc w:val="both"/>
      </w:pPr>
      <w:r>
        <w:t>Post-marketing surveillance through spontaneous reporting databases such as the FDA Adverse Event Reporting System (FAERS) is essential for detecting rare or delayed safety signals that may not emerge in randomized controlled trials due to limited sample sizes, strict inclusion/exclusion criteria, and finite follow-up durations.</w:t>
      </w:r>
      <w:r>
        <w:rPr>
          <w:sz w:val="18"/>
          <w:szCs w:val="18"/>
          <w:vertAlign w:val="superscript"/>
        </w:rPr>
        <w:t>5</w:t>
      </w:r>
      <w:r>
        <w:t xml:space="preserve"> Previous pharmacovigilance analyses have examined hemorrhagic risk associated with prasugrel relative to clopidogrel and ticagrelor; however, comprehensive descriptive characterization of the full FAERS safety record for prasugrel across its entire post-marketing history remains valuable for informing clinical practice.</w:t>
      </w:r>
      <w:r>
        <w:rPr>
          <w:sz w:val="18"/>
          <w:szCs w:val="18"/>
          <w:vertAlign w:val="superscript"/>
        </w:rPr>
        <w:t>6,7</w:t>
      </w:r>
    </w:p>
    <w:p w14:paraId="2F75457C" w14:textId="77777777" w:rsidR="0075283B" w:rsidRDefault="00000000">
      <w:pPr>
        <w:spacing w:before="80" w:after="120" w:line="276" w:lineRule="auto"/>
        <w:jc w:val="both"/>
      </w:pPr>
      <w:r>
        <w:t>The objective of this study was to perform a descriptive analysis of all prasugrel adverse event reports in FAERS from its first post-marketing year (2009) through March 30, 2026, encompassing 1,240 cases, to characterize the spectrum of reported events, temporal reporting patterns, and the demographic characteristics of affected patients.</w:t>
      </w:r>
    </w:p>
    <w:p w14:paraId="40F76E81" w14:textId="77777777" w:rsidR="0075283B" w:rsidRDefault="00000000">
      <w:pPr>
        <w:pStyle w:val="Heading1"/>
        <w:pBdr>
          <w:bottom w:val="single" w:sz="4" w:space="1" w:color="2E75B6"/>
        </w:pBdr>
      </w:pPr>
      <w:r>
        <w:t>2. Methods</w:t>
      </w:r>
    </w:p>
    <w:p w14:paraId="6F571723" w14:textId="77777777" w:rsidR="0075283B" w:rsidRDefault="00000000">
      <w:pPr>
        <w:pStyle w:val="Heading2"/>
      </w:pPr>
      <w:r>
        <w:t>2.1 Data Source</w:t>
      </w:r>
    </w:p>
    <w:p w14:paraId="7B1F9678" w14:textId="77777777" w:rsidR="0075283B" w:rsidRDefault="00000000">
      <w:pPr>
        <w:spacing w:before="80" w:after="120" w:line="276" w:lineRule="auto"/>
        <w:jc w:val="both"/>
      </w:pPr>
      <w:r>
        <w:t>The FAERS database is a publicly available pharmacovigilance repository maintained by the U.S. Food and Drug Administration. It collects spontaneous adverse event reports submitted by healthcare professionals, patients, consumers, and pharmaceutical manufacturers. Adverse events are coded using the Medical Dictionary for Regulatory Activities (MedDRA) terminology.</w:t>
      </w:r>
      <w:r>
        <w:rPr>
          <w:sz w:val="18"/>
          <w:szCs w:val="18"/>
          <w:vertAlign w:val="superscript"/>
        </w:rPr>
        <w:t>8</w:t>
      </w:r>
      <w:r>
        <w:t xml:space="preserve"> The FAERS database </w:t>
      </w:r>
      <w:r>
        <w:lastRenderedPageBreak/>
        <w:t>serves as a cornerstone of post-marketing drug safety surveillance in the United States and internationally.</w:t>
      </w:r>
    </w:p>
    <w:p w14:paraId="05DC6412" w14:textId="77777777" w:rsidR="0075283B" w:rsidRDefault="00000000">
      <w:pPr>
        <w:pStyle w:val="Heading2"/>
      </w:pPr>
      <w:r>
        <w:t>2.2 Case Selection</w:t>
      </w:r>
    </w:p>
    <w:p w14:paraId="72F7BE5C" w14:textId="77777777" w:rsidR="0075283B" w:rsidRDefault="00000000">
      <w:pPr>
        <w:spacing w:before="80" w:after="120" w:line="276" w:lineRule="auto"/>
        <w:jc w:val="both"/>
      </w:pPr>
      <w:r>
        <w:t>All adverse event reports in which prasugrel (including brand name Effient®) was identified as the primary suspect drug were extracted from the FAERS database for the period from January 2009 through March 30, 2026. A total of 1,240 qualifying reports were identified.</w:t>
      </w:r>
    </w:p>
    <w:p w14:paraId="254EB5A0" w14:textId="77777777" w:rsidR="0075283B" w:rsidRDefault="00000000">
      <w:pPr>
        <w:pStyle w:val="Heading2"/>
      </w:pPr>
      <w:r>
        <w:t>2.3 Variables and Analysis</w:t>
      </w:r>
    </w:p>
    <w:p w14:paraId="579A8BAC" w14:textId="77777777" w:rsidR="0075283B" w:rsidRDefault="00000000">
      <w:pPr>
        <w:spacing w:before="80" w:after="120" w:line="276" w:lineRule="auto"/>
        <w:jc w:val="both"/>
      </w:pPr>
      <w:r>
        <w:t>Reports were categorized and analyzed across the following dimensions: (1) year of report submission; (2) reported adverse event preferred terms (PTs) per MedDRA; (3) patient age group; (4) patient sex; and (5) reporter type. Descriptive statistics were calculated as case counts and percentage of total reports. No inferential statistics or disproportionality analyses (e.g., reporting odds ratio, proportional reporting ratio) were performed, as this was a descriptive study. Ethics approval was not required as FAERS data are de-identified and publicly available.</w:t>
      </w:r>
    </w:p>
    <w:p w14:paraId="5EED2970" w14:textId="77777777" w:rsidR="0075283B" w:rsidRDefault="00000000">
      <w:pPr>
        <w:pStyle w:val="Heading1"/>
        <w:pBdr>
          <w:bottom w:val="single" w:sz="4" w:space="1" w:color="2E75B6"/>
        </w:pBdr>
      </w:pPr>
      <w:r>
        <w:t>3. Results</w:t>
      </w:r>
    </w:p>
    <w:p w14:paraId="4B5B935D" w14:textId="77777777" w:rsidR="0075283B" w:rsidRDefault="00000000">
      <w:pPr>
        <w:pStyle w:val="Heading2"/>
      </w:pPr>
      <w:r>
        <w:t>3.1 Temporal Distribution of Reports</w:t>
      </w:r>
    </w:p>
    <w:p w14:paraId="13314349" w14:textId="77777777" w:rsidR="0075283B" w:rsidRDefault="00000000">
      <w:pPr>
        <w:spacing w:before="80" w:after="120" w:line="276" w:lineRule="auto"/>
        <w:jc w:val="both"/>
      </w:pPr>
      <w:r>
        <w:t>A total of 1,240 adverse event reports were identified over the study period (Table 1). Reporting volumes were highest in the early post-marketing years following FDA approval: 2010 (n=114; 9.19%), 2011 (n=117; 9.44%), and 2012 (n=92; 7.42%). A notable surge was observed in 2019 (n=103; 8.31%) and 2020 (n=104; 8.39%), possibly reflecting increased prasugrel prescribing, heightened awareness, or changes in reporting behaviour during the COVID-19 pandemic period. Reports for 2026 reflect only the first quarter (n=7; 0.56%).</w:t>
      </w:r>
    </w:p>
    <w:p w14:paraId="63EEFB98" w14:textId="77777777" w:rsidR="0075283B" w:rsidRDefault="00000000">
      <w:pPr>
        <w:spacing w:before="200" w:after="80"/>
      </w:pPr>
      <w:r>
        <w:rPr>
          <w:b/>
          <w:bCs/>
          <w:i/>
          <w:iCs/>
          <w:color w:val="1F4E79"/>
          <w:sz w:val="20"/>
          <w:szCs w:val="20"/>
        </w:rPr>
        <w:t>Table 1. Annual Distribution of Prasugrel Adverse Event Reports (FAERS, 2009–2026)</w:t>
      </w:r>
    </w:p>
    <w:tbl>
      <w:tblPr>
        <w:tblW w:w="9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3120"/>
        <w:gridCol w:w="3120"/>
        <w:gridCol w:w="3120"/>
      </w:tblGrid>
      <w:tr w:rsidR="0075283B" w14:paraId="59D28CD5" w14:textId="77777777">
        <w:trPr>
          <w:tblHeader/>
        </w:trPr>
        <w:tc>
          <w:tcPr>
            <w:tcW w:w="3120" w:type="dxa"/>
            <w:tcBorders>
              <w:top w:val="single" w:sz="1" w:space="0" w:color="CCCCCC"/>
              <w:left w:val="single" w:sz="1" w:space="0" w:color="CCCCCC"/>
              <w:bottom w:val="single" w:sz="1" w:space="0" w:color="CCCCCC"/>
              <w:right w:val="single" w:sz="1" w:space="0" w:color="CCCCCC"/>
            </w:tcBorders>
            <w:shd w:val="clear" w:color="auto" w:fill="1F4E79"/>
            <w:tcMar>
              <w:top w:w="80" w:type="dxa"/>
              <w:left w:w="120" w:type="dxa"/>
              <w:bottom w:w="80" w:type="dxa"/>
              <w:right w:w="120" w:type="dxa"/>
            </w:tcMar>
          </w:tcPr>
          <w:p w14:paraId="6236D946" w14:textId="77777777" w:rsidR="0075283B" w:rsidRDefault="00000000">
            <w:pPr>
              <w:jc w:val="center"/>
            </w:pPr>
            <w:r>
              <w:rPr>
                <w:b/>
                <w:bCs/>
                <w:color w:val="FFFFFF"/>
                <w:sz w:val="20"/>
                <w:szCs w:val="20"/>
              </w:rPr>
              <w:t>Year</w:t>
            </w:r>
          </w:p>
        </w:tc>
        <w:tc>
          <w:tcPr>
            <w:tcW w:w="3120" w:type="dxa"/>
            <w:tcBorders>
              <w:top w:val="single" w:sz="1" w:space="0" w:color="CCCCCC"/>
              <w:left w:val="single" w:sz="1" w:space="0" w:color="CCCCCC"/>
              <w:bottom w:val="single" w:sz="1" w:space="0" w:color="CCCCCC"/>
              <w:right w:val="single" w:sz="1" w:space="0" w:color="CCCCCC"/>
            </w:tcBorders>
            <w:shd w:val="clear" w:color="auto" w:fill="1F4E79"/>
            <w:tcMar>
              <w:top w:w="80" w:type="dxa"/>
              <w:left w:w="120" w:type="dxa"/>
              <w:bottom w:w="80" w:type="dxa"/>
              <w:right w:w="120" w:type="dxa"/>
            </w:tcMar>
          </w:tcPr>
          <w:p w14:paraId="6D3A3136" w14:textId="77777777" w:rsidR="0075283B" w:rsidRDefault="00000000">
            <w:pPr>
              <w:jc w:val="center"/>
            </w:pPr>
            <w:r>
              <w:rPr>
                <w:b/>
                <w:bCs/>
                <w:color w:val="FFFFFF"/>
                <w:sz w:val="20"/>
                <w:szCs w:val="20"/>
              </w:rPr>
              <w:t>Number of Cases</w:t>
            </w:r>
          </w:p>
        </w:tc>
        <w:tc>
          <w:tcPr>
            <w:tcW w:w="3120" w:type="dxa"/>
            <w:tcBorders>
              <w:top w:val="single" w:sz="1" w:space="0" w:color="CCCCCC"/>
              <w:left w:val="single" w:sz="1" w:space="0" w:color="CCCCCC"/>
              <w:bottom w:val="single" w:sz="1" w:space="0" w:color="CCCCCC"/>
              <w:right w:val="single" w:sz="1" w:space="0" w:color="CCCCCC"/>
            </w:tcBorders>
            <w:shd w:val="clear" w:color="auto" w:fill="1F4E79"/>
            <w:tcMar>
              <w:top w:w="80" w:type="dxa"/>
              <w:left w:w="120" w:type="dxa"/>
              <w:bottom w:w="80" w:type="dxa"/>
              <w:right w:w="120" w:type="dxa"/>
            </w:tcMar>
          </w:tcPr>
          <w:p w14:paraId="6C7EDC33" w14:textId="77777777" w:rsidR="0075283B" w:rsidRDefault="00000000">
            <w:pPr>
              <w:jc w:val="center"/>
            </w:pPr>
            <w:r>
              <w:rPr>
                <w:b/>
                <w:bCs/>
                <w:color w:val="FFFFFF"/>
                <w:sz w:val="20"/>
                <w:szCs w:val="20"/>
              </w:rPr>
              <w:t>Percentage</w:t>
            </w:r>
          </w:p>
        </w:tc>
      </w:tr>
      <w:tr w:rsidR="0075283B" w14:paraId="54FE051F" w14:textId="77777777">
        <w:tc>
          <w:tcPr>
            <w:tcW w:w="3120" w:type="dxa"/>
            <w:tcBorders>
              <w:top w:val="single" w:sz="1" w:space="0" w:color="CCCCCC"/>
              <w:left w:val="single" w:sz="1" w:space="0" w:color="CCCCCC"/>
              <w:bottom w:val="single" w:sz="1" w:space="0" w:color="CCCCCC"/>
              <w:right w:val="single" w:sz="1" w:space="0" w:color="CCCCCC"/>
            </w:tcBorders>
            <w:shd w:val="clear" w:color="auto" w:fill="F2F7FB"/>
            <w:tcMar>
              <w:top w:w="80" w:type="dxa"/>
              <w:left w:w="120" w:type="dxa"/>
              <w:bottom w:w="80" w:type="dxa"/>
              <w:right w:w="120" w:type="dxa"/>
            </w:tcMar>
          </w:tcPr>
          <w:p w14:paraId="7D71AE67" w14:textId="77777777" w:rsidR="0075283B" w:rsidRDefault="00000000">
            <w:pPr>
              <w:jc w:val="center"/>
            </w:pPr>
            <w:r>
              <w:rPr>
                <w:color w:val="000000"/>
                <w:sz w:val="20"/>
                <w:szCs w:val="20"/>
              </w:rPr>
              <w:t>2009</w:t>
            </w:r>
          </w:p>
        </w:tc>
        <w:tc>
          <w:tcPr>
            <w:tcW w:w="312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0D3C9C42" w14:textId="77777777" w:rsidR="0075283B" w:rsidRDefault="00000000">
            <w:pPr>
              <w:jc w:val="center"/>
            </w:pPr>
            <w:r>
              <w:rPr>
                <w:color w:val="000000"/>
                <w:sz w:val="20"/>
                <w:szCs w:val="20"/>
              </w:rPr>
              <w:t>7</w:t>
            </w:r>
          </w:p>
        </w:tc>
        <w:tc>
          <w:tcPr>
            <w:tcW w:w="3120" w:type="dxa"/>
            <w:tcBorders>
              <w:top w:val="single" w:sz="1" w:space="0" w:color="CCCCCC"/>
              <w:left w:val="single" w:sz="1" w:space="0" w:color="CCCCCC"/>
              <w:bottom w:val="single" w:sz="1" w:space="0" w:color="CCCCCC"/>
              <w:right w:val="single" w:sz="1" w:space="0" w:color="CCCCCC"/>
            </w:tcBorders>
            <w:shd w:val="clear" w:color="auto" w:fill="F2F7FB"/>
            <w:tcMar>
              <w:top w:w="80" w:type="dxa"/>
              <w:left w:w="120" w:type="dxa"/>
              <w:bottom w:w="80" w:type="dxa"/>
              <w:right w:w="120" w:type="dxa"/>
            </w:tcMar>
          </w:tcPr>
          <w:p w14:paraId="694346BF" w14:textId="77777777" w:rsidR="0075283B" w:rsidRDefault="00000000">
            <w:pPr>
              <w:jc w:val="center"/>
            </w:pPr>
            <w:r>
              <w:rPr>
                <w:color w:val="000000"/>
                <w:sz w:val="20"/>
                <w:szCs w:val="20"/>
              </w:rPr>
              <w:t>0.56%</w:t>
            </w:r>
          </w:p>
        </w:tc>
      </w:tr>
      <w:tr w:rsidR="0075283B" w14:paraId="74961747" w14:textId="77777777">
        <w:tc>
          <w:tcPr>
            <w:tcW w:w="3120" w:type="dxa"/>
            <w:tcBorders>
              <w:top w:val="single" w:sz="1" w:space="0" w:color="CCCCCC"/>
              <w:left w:val="single" w:sz="1" w:space="0" w:color="CCCCCC"/>
              <w:bottom w:val="single" w:sz="1" w:space="0" w:color="CCCCCC"/>
              <w:right w:val="single" w:sz="1" w:space="0" w:color="CCCCCC"/>
            </w:tcBorders>
            <w:shd w:val="clear" w:color="auto" w:fill="F2F7FB"/>
            <w:tcMar>
              <w:top w:w="80" w:type="dxa"/>
              <w:left w:w="120" w:type="dxa"/>
              <w:bottom w:w="80" w:type="dxa"/>
              <w:right w:w="120" w:type="dxa"/>
            </w:tcMar>
          </w:tcPr>
          <w:p w14:paraId="30175A24" w14:textId="77777777" w:rsidR="0075283B" w:rsidRDefault="00000000">
            <w:pPr>
              <w:jc w:val="center"/>
            </w:pPr>
            <w:r>
              <w:rPr>
                <w:color w:val="000000"/>
                <w:sz w:val="20"/>
                <w:szCs w:val="20"/>
              </w:rPr>
              <w:t>2010</w:t>
            </w:r>
          </w:p>
        </w:tc>
        <w:tc>
          <w:tcPr>
            <w:tcW w:w="312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0AE9F5CB" w14:textId="77777777" w:rsidR="0075283B" w:rsidRDefault="00000000">
            <w:pPr>
              <w:jc w:val="center"/>
            </w:pPr>
            <w:r>
              <w:rPr>
                <w:color w:val="000000"/>
                <w:sz w:val="20"/>
                <w:szCs w:val="20"/>
              </w:rPr>
              <w:t>114</w:t>
            </w:r>
          </w:p>
        </w:tc>
        <w:tc>
          <w:tcPr>
            <w:tcW w:w="3120" w:type="dxa"/>
            <w:tcBorders>
              <w:top w:val="single" w:sz="1" w:space="0" w:color="CCCCCC"/>
              <w:left w:val="single" w:sz="1" w:space="0" w:color="CCCCCC"/>
              <w:bottom w:val="single" w:sz="1" w:space="0" w:color="CCCCCC"/>
              <w:right w:val="single" w:sz="1" w:space="0" w:color="CCCCCC"/>
            </w:tcBorders>
            <w:shd w:val="clear" w:color="auto" w:fill="F2F7FB"/>
            <w:tcMar>
              <w:top w:w="80" w:type="dxa"/>
              <w:left w:w="120" w:type="dxa"/>
              <w:bottom w:w="80" w:type="dxa"/>
              <w:right w:w="120" w:type="dxa"/>
            </w:tcMar>
          </w:tcPr>
          <w:p w14:paraId="4C8710A3" w14:textId="77777777" w:rsidR="0075283B" w:rsidRDefault="00000000">
            <w:pPr>
              <w:jc w:val="center"/>
            </w:pPr>
            <w:r>
              <w:rPr>
                <w:color w:val="000000"/>
                <w:sz w:val="20"/>
                <w:szCs w:val="20"/>
              </w:rPr>
              <w:t>9.19%</w:t>
            </w:r>
          </w:p>
        </w:tc>
      </w:tr>
      <w:tr w:rsidR="0075283B" w14:paraId="6D0CB31F" w14:textId="77777777">
        <w:tc>
          <w:tcPr>
            <w:tcW w:w="3120" w:type="dxa"/>
            <w:tcBorders>
              <w:top w:val="single" w:sz="1" w:space="0" w:color="CCCCCC"/>
              <w:left w:val="single" w:sz="1" w:space="0" w:color="CCCCCC"/>
              <w:bottom w:val="single" w:sz="1" w:space="0" w:color="CCCCCC"/>
              <w:right w:val="single" w:sz="1" w:space="0" w:color="CCCCCC"/>
            </w:tcBorders>
            <w:shd w:val="clear" w:color="auto" w:fill="F2F7FB"/>
            <w:tcMar>
              <w:top w:w="80" w:type="dxa"/>
              <w:left w:w="120" w:type="dxa"/>
              <w:bottom w:w="80" w:type="dxa"/>
              <w:right w:w="120" w:type="dxa"/>
            </w:tcMar>
          </w:tcPr>
          <w:p w14:paraId="3D07E55F" w14:textId="77777777" w:rsidR="0075283B" w:rsidRDefault="00000000">
            <w:pPr>
              <w:jc w:val="center"/>
            </w:pPr>
            <w:r>
              <w:rPr>
                <w:color w:val="000000"/>
                <w:sz w:val="20"/>
                <w:szCs w:val="20"/>
              </w:rPr>
              <w:t>2011</w:t>
            </w:r>
          </w:p>
        </w:tc>
        <w:tc>
          <w:tcPr>
            <w:tcW w:w="312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72F73A9C" w14:textId="77777777" w:rsidR="0075283B" w:rsidRDefault="00000000">
            <w:pPr>
              <w:jc w:val="center"/>
            </w:pPr>
            <w:r>
              <w:rPr>
                <w:color w:val="000000"/>
                <w:sz w:val="20"/>
                <w:szCs w:val="20"/>
              </w:rPr>
              <w:t>117</w:t>
            </w:r>
          </w:p>
        </w:tc>
        <w:tc>
          <w:tcPr>
            <w:tcW w:w="3120" w:type="dxa"/>
            <w:tcBorders>
              <w:top w:val="single" w:sz="1" w:space="0" w:color="CCCCCC"/>
              <w:left w:val="single" w:sz="1" w:space="0" w:color="CCCCCC"/>
              <w:bottom w:val="single" w:sz="1" w:space="0" w:color="CCCCCC"/>
              <w:right w:val="single" w:sz="1" w:space="0" w:color="CCCCCC"/>
            </w:tcBorders>
            <w:shd w:val="clear" w:color="auto" w:fill="F2F7FB"/>
            <w:tcMar>
              <w:top w:w="80" w:type="dxa"/>
              <w:left w:w="120" w:type="dxa"/>
              <w:bottom w:w="80" w:type="dxa"/>
              <w:right w:w="120" w:type="dxa"/>
            </w:tcMar>
          </w:tcPr>
          <w:p w14:paraId="11906F5B" w14:textId="77777777" w:rsidR="0075283B" w:rsidRDefault="00000000">
            <w:pPr>
              <w:jc w:val="center"/>
            </w:pPr>
            <w:r>
              <w:rPr>
                <w:color w:val="000000"/>
                <w:sz w:val="20"/>
                <w:szCs w:val="20"/>
              </w:rPr>
              <w:t>9.44%</w:t>
            </w:r>
          </w:p>
        </w:tc>
      </w:tr>
      <w:tr w:rsidR="0075283B" w14:paraId="3A79598F" w14:textId="77777777">
        <w:tc>
          <w:tcPr>
            <w:tcW w:w="3120" w:type="dxa"/>
            <w:tcBorders>
              <w:top w:val="single" w:sz="1" w:space="0" w:color="CCCCCC"/>
              <w:left w:val="single" w:sz="1" w:space="0" w:color="CCCCCC"/>
              <w:bottom w:val="single" w:sz="1" w:space="0" w:color="CCCCCC"/>
              <w:right w:val="single" w:sz="1" w:space="0" w:color="CCCCCC"/>
            </w:tcBorders>
            <w:shd w:val="clear" w:color="auto" w:fill="F2F7FB"/>
            <w:tcMar>
              <w:top w:w="80" w:type="dxa"/>
              <w:left w:w="120" w:type="dxa"/>
              <w:bottom w:w="80" w:type="dxa"/>
              <w:right w:w="120" w:type="dxa"/>
            </w:tcMar>
          </w:tcPr>
          <w:p w14:paraId="1B40ADE4" w14:textId="77777777" w:rsidR="0075283B" w:rsidRDefault="00000000">
            <w:pPr>
              <w:jc w:val="center"/>
            </w:pPr>
            <w:r>
              <w:rPr>
                <w:color w:val="000000"/>
                <w:sz w:val="20"/>
                <w:szCs w:val="20"/>
              </w:rPr>
              <w:t>2012</w:t>
            </w:r>
          </w:p>
        </w:tc>
        <w:tc>
          <w:tcPr>
            <w:tcW w:w="312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1B5BC099" w14:textId="77777777" w:rsidR="0075283B" w:rsidRDefault="00000000">
            <w:pPr>
              <w:jc w:val="center"/>
            </w:pPr>
            <w:r>
              <w:rPr>
                <w:color w:val="000000"/>
                <w:sz w:val="20"/>
                <w:szCs w:val="20"/>
              </w:rPr>
              <w:t>92</w:t>
            </w:r>
          </w:p>
        </w:tc>
        <w:tc>
          <w:tcPr>
            <w:tcW w:w="3120" w:type="dxa"/>
            <w:tcBorders>
              <w:top w:val="single" w:sz="1" w:space="0" w:color="CCCCCC"/>
              <w:left w:val="single" w:sz="1" w:space="0" w:color="CCCCCC"/>
              <w:bottom w:val="single" w:sz="1" w:space="0" w:color="CCCCCC"/>
              <w:right w:val="single" w:sz="1" w:space="0" w:color="CCCCCC"/>
            </w:tcBorders>
            <w:shd w:val="clear" w:color="auto" w:fill="F2F7FB"/>
            <w:tcMar>
              <w:top w:w="80" w:type="dxa"/>
              <w:left w:w="120" w:type="dxa"/>
              <w:bottom w:w="80" w:type="dxa"/>
              <w:right w:w="120" w:type="dxa"/>
            </w:tcMar>
          </w:tcPr>
          <w:p w14:paraId="29F86CF9" w14:textId="77777777" w:rsidR="0075283B" w:rsidRDefault="00000000">
            <w:pPr>
              <w:jc w:val="center"/>
            </w:pPr>
            <w:r>
              <w:rPr>
                <w:color w:val="000000"/>
                <w:sz w:val="20"/>
                <w:szCs w:val="20"/>
              </w:rPr>
              <w:t>7.42%</w:t>
            </w:r>
          </w:p>
        </w:tc>
      </w:tr>
      <w:tr w:rsidR="0075283B" w14:paraId="5E4A622A" w14:textId="77777777">
        <w:tc>
          <w:tcPr>
            <w:tcW w:w="3120" w:type="dxa"/>
            <w:tcBorders>
              <w:top w:val="single" w:sz="1" w:space="0" w:color="CCCCCC"/>
              <w:left w:val="single" w:sz="1" w:space="0" w:color="CCCCCC"/>
              <w:bottom w:val="single" w:sz="1" w:space="0" w:color="CCCCCC"/>
              <w:right w:val="single" w:sz="1" w:space="0" w:color="CCCCCC"/>
            </w:tcBorders>
            <w:shd w:val="clear" w:color="auto" w:fill="F2F7FB"/>
            <w:tcMar>
              <w:top w:w="80" w:type="dxa"/>
              <w:left w:w="120" w:type="dxa"/>
              <w:bottom w:w="80" w:type="dxa"/>
              <w:right w:w="120" w:type="dxa"/>
            </w:tcMar>
          </w:tcPr>
          <w:p w14:paraId="5C6D9944" w14:textId="77777777" w:rsidR="0075283B" w:rsidRDefault="00000000">
            <w:pPr>
              <w:jc w:val="center"/>
            </w:pPr>
            <w:r>
              <w:rPr>
                <w:color w:val="000000"/>
                <w:sz w:val="20"/>
                <w:szCs w:val="20"/>
              </w:rPr>
              <w:t>2013</w:t>
            </w:r>
          </w:p>
        </w:tc>
        <w:tc>
          <w:tcPr>
            <w:tcW w:w="312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739DA921" w14:textId="77777777" w:rsidR="0075283B" w:rsidRDefault="00000000">
            <w:pPr>
              <w:jc w:val="center"/>
            </w:pPr>
            <w:r>
              <w:rPr>
                <w:color w:val="000000"/>
                <w:sz w:val="20"/>
                <w:szCs w:val="20"/>
              </w:rPr>
              <w:t>37</w:t>
            </w:r>
          </w:p>
        </w:tc>
        <w:tc>
          <w:tcPr>
            <w:tcW w:w="3120" w:type="dxa"/>
            <w:tcBorders>
              <w:top w:val="single" w:sz="1" w:space="0" w:color="CCCCCC"/>
              <w:left w:val="single" w:sz="1" w:space="0" w:color="CCCCCC"/>
              <w:bottom w:val="single" w:sz="1" w:space="0" w:color="CCCCCC"/>
              <w:right w:val="single" w:sz="1" w:space="0" w:color="CCCCCC"/>
            </w:tcBorders>
            <w:shd w:val="clear" w:color="auto" w:fill="F2F7FB"/>
            <w:tcMar>
              <w:top w:w="80" w:type="dxa"/>
              <w:left w:w="120" w:type="dxa"/>
              <w:bottom w:w="80" w:type="dxa"/>
              <w:right w:w="120" w:type="dxa"/>
            </w:tcMar>
          </w:tcPr>
          <w:p w14:paraId="026E589E" w14:textId="77777777" w:rsidR="0075283B" w:rsidRDefault="00000000">
            <w:pPr>
              <w:jc w:val="center"/>
            </w:pPr>
            <w:r>
              <w:rPr>
                <w:color w:val="000000"/>
                <w:sz w:val="20"/>
                <w:szCs w:val="20"/>
              </w:rPr>
              <w:t>2.98%</w:t>
            </w:r>
          </w:p>
        </w:tc>
      </w:tr>
      <w:tr w:rsidR="0075283B" w14:paraId="05224BC4" w14:textId="77777777">
        <w:tc>
          <w:tcPr>
            <w:tcW w:w="3120" w:type="dxa"/>
            <w:tcBorders>
              <w:top w:val="single" w:sz="1" w:space="0" w:color="CCCCCC"/>
              <w:left w:val="single" w:sz="1" w:space="0" w:color="CCCCCC"/>
              <w:bottom w:val="single" w:sz="1" w:space="0" w:color="CCCCCC"/>
              <w:right w:val="single" w:sz="1" w:space="0" w:color="CCCCCC"/>
            </w:tcBorders>
            <w:shd w:val="clear" w:color="auto" w:fill="F2F7FB"/>
            <w:tcMar>
              <w:top w:w="80" w:type="dxa"/>
              <w:left w:w="120" w:type="dxa"/>
              <w:bottom w:w="80" w:type="dxa"/>
              <w:right w:w="120" w:type="dxa"/>
            </w:tcMar>
          </w:tcPr>
          <w:p w14:paraId="66A4CB03" w14:textId="77777777" w:rsidR="0075283B" w:rsidRDefault="00000000">
            <w:pPr>
              <w:jc w:val="center"/>
            </w:pPr>
            <w:r>
              <w:rPr>
                <w:color w:val="000000"/>
                <w:sz w:val="20"/>
                <w:szCs w:val="20"/>
              </w:rPr>
              <w:t>2014</w:t>
            </w:r>
          </w:p>
        </w:tc>
        <w:tc>
          <w:tcPr>
            <w:tcW w:w="312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5B0D1631" w14:textId="77777777" w:rsidR="0075283B" w:rsidRDefault="00000000">
            <w:pPr>
              <w:jc w:val="center"/>
            </w:pPr>
            <w:r>
              <w:rPr>
                <w:color w:val="000000"/>
                <w:sz w:val="20"/>
                <w:szCs w:val="20"/>
              </w:rPr>
              <w:t>36</w:t>
            </w:r>
          </w:p>
        </w:tc>
        <w:tc>
          <w:tcPr>
            <w:tcW w:w="3120" w:type="dxa"/>
            <w:tcBorders>
              <w:top w:val="single" w:sz="1" w:space="0" w:color="CCCCCC"/>
              <w:left w:val="single" w:sz="1" w:space="0" w:color="CCCCCC"/>
              <w:bottom w:val="single" w:sz="1" w:space="0" w:color="CCCCCC"/>
              <w:right w:val="single" w:sz="1" w:space="0" w:color="CCCCCC"/>
            </w:tcBorders>
            <w:shd w:val="clear" w:color="auto" w:fill="F2F7FB"/>
            <w:tcMar>
              <w:top w:w="80" w:type="dxa"/>
              <w:left w:w="120" w:type="dxa"/>
              <w:bottom w:w="80" w:type="dxa"/>
              <w:right w:w="120" w:type="dxa"/>
            </w:tcMar>
          </w:tcPr>
          <w:p w14:paraId="2019496B" w14:textId="77777777" w:rsidR="0075283B" w:rsidRDefault="00000000">
            <w:pPr>
              <w:jc w:val="center"/>
            </w:pPr>
            <w:r>
              <w:rPr>
                <w:color w:val="000000"/>
                <w:sz w:val="20"/>
                <w:szCs w:val="20"/>
              </w:rPr>
              <w:t>2.90%</w:t>
            </w:r>
          </w:p>
        </w:tc>
      </w:tr>
      <w:tr w:rsidR="0075283B" w14:paraId="628B67A6" w14:textId="77777777">
        <w:tc>
          <w:tcPr>
            <w:tcW w:w="3120" w:type="dxa"/>
            <w:tcBorders>
              <w:top w:val="single" w:sz="1" w:space="0" w:color="CCCCCC"/>
              <w:left w:val="single" w:sz="1" w:space="0" w:color="CCCCCC"/>
              <w:bottom w:val="single" w:sz="1" w:space="0" w:color="CCCCCC"/>
              <w:right w:val="single" w:sz="1" w:space="0" w:color="CCCCCC"/>
            </w:tcBorders>
            <w:shd w:val="clear" w:color="auto" w:fill="F2F7FB"/>
            <w:tcMar>
              <w:top w:w="80" w:type="dxa"/>
              <w:left w:w="120" w:type="dxa"/>
              <w:bottom w:w="80" w:type="dxa"/>
              <w:right w:w="120" w:type="dxa"/>
            </w:tcMar>
          </w:tcPr>
          <w:p w14:paraId="0FC15308" w14:textId="77777777" w:rsidR="0075283B" w:rsidRDefault="00000000">
            <w:pPr>
              <w:jc w:val="center"/>
            </w:pPr>
            <w:r>
              <w:rPr>
                <w:color w:val="000000"/>
                <w:sz w:val="20"/>
                <w:szCs w:val="20"/>
              </w:rPr>
              <w:t>2015</w:t>
            </w:r>
          </w:p>
        </w:tc>
        <w:tc>
          <w:tcPr>
            <w:tcW w:w="312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069B0F8F" w14:textId="77777777" w:rsidR="0075283B" w:rsidRDefault="00000000">
            <w:pPr>
              <w:jc w:val="center"/>
            </w:pPr>
            <w:r>
              <w:rPr>
                <w:color w:val="000000"/>
                <w:sz w:val="20"/>
                <w:szCs w:val="20"/>
              </w:rPr>
              <w:t>59</w:t>
            </w:r>
          </w:p>
        </w:tc>
        <w:tc>
          <w:tcPr>
            <w:tcW w:w="3120" w:type="dxa"/>
            <w:tcBorders>
              <w:top w:val="single" w:sz="1" w:space="0" w:color="CCCCCC"/>
              <w:left w:val="single" w:sz="1" w:space="0" w:color="CCCCCC"/>
              <w:bottom w:val="single" w:sz="1" w:space="0" w:color="CCCCCC"/>
              <w:right w:val="single" w:sz="1" w:space="0" w:color="CCCCCC"/>
            </w:tcBorders>
            <w:shd w:val="clear" w:color="auto" w:fill="F2F7FB"/>
            <w:tcMar>
              <w:top w:w="80" w:type="dxa"/>
              <w:left w:w="120" w:type="dxa"/>
              <w:bottom w:w="80" w:type="dxa"/>
              <w:right w:w="120" w:type="dxa"/>
            </w:tcMar>
          </w:tcPr>
          <w:p w14:paraId="05B09687" w14:textId="77777777" w:rsidR="0075283B" w:rsidRDefault="00000000">
            <w:pPr>
              <w:jc w:val="center"/>
            </w:pPr>
            <w:r>
              <w:rPr>
                <w:color w:val="000000"/>
                <w:sz w:val="20"/>
                <w:szCs w:val="20"/>
              </w:rPr>
              <w:t>4.76%</w:t>
            </w:r>
          </w:p>
        </w:tc>
      </w:tr>
      <w:tr w:rsidR="0075283B" w14:paraId="491ABB4B" w14:textId="77777777">
        <w:tc>
          <w:tcPr>
            <w:tcW w:w="3120" w:type="dxa"/>
            <w:tcBorders>
              <w:top w:val="single" w:sz="1" w:space="0" w:color="CCCCCC"/>
              <w:left w:val="single" w:sz="1" w:space="0" w:color="CCCCCC"/>
              <w:bottom w:val="single" w:sz="1" w:space="0" w:color="CCCCCC"/>
              <w:right w:val="single" w:sz="1" w:space="0" w:color="CCCCCC"/>
            </w:tcBorders>
            <w:shd w:val="clear" w:color="auto" w:fill="F2F7FB"/>
            <w:tcMar>
              <w:top w:w="80" w:type="dxa"/>
              <w:left w:w="120" w:type="dxa"/>
              <w:bottom w:w="80" w:type="dxa"/>
              <w:right w:w="120" w:type="dxa"/>
            </w:tcMar>
          </w:tcPr>
          <w:p w14:paraId="19142466" w14:textId="77777777" w:rsidR="0075283B" w:rsidRDefault="00000000">
            <w:pPr>
              <w:jc w:val="center"/>
            </w:pPr>
            <w:r>
              <w:rPr>
                <w:color w:val="000000"/>
                <w:sz w:val="20"/>
                <w:szCs w:val="20"/>
              </w:rPr>
              <w:t>2016</w:t>
            </w:r>
          </w:p>
        </w:tc>
        <w:tc>
          <w:tcPr>
            <w:tcW w:w="312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34C50F68" w14:textId="77777777" w:rsidR="0075283B" w:rsidRDefault="00000000">
            <w:pPr>
              <w:jc w:val="center"/>
            </w:pPr>
            <w:r>
              <w:rPr>
                <w:color w:val="000000"/>
                <w:sz w:val="20"/>
                <w:szCs w:val="20"/>
              </w:rPr>
              <w:t>74</w:t>
            </w:r>
          </w:p>
        </w:tc>
        <w:tc>
          <w:tcPr>
            <w:tcW w:w="3120" w:type="dxa"/>
            <w:tcBorders>
              <w:top w:val="single" w:sz="1" w:space="0" w:color="CCCCCC"/>
              <w:left w:val="single" w:sz="1" w:space="0" w:color="CCCCCC"/>
              <w:bottom w:val="single" w:sz="1" w:space="0" w:color="CCCCCC"/>
              <w:right w:val="single" w:sz="1" w:space="0" w:color="CCCCCC"/>
            </w:tcBorders>
            <w:shd w:val="clear" w:color="auto" w:fill="F2F7FB"/>
            <w:tcMar>
              <w:top w:w="80" w:type="dxa"/>
              <w:left w:w="120" w:type="dxa"/>
              <w:bottom w:w="80" w:type="dxa"/>
              <w:right w:w="120" w:type="dxa"/>
            </w:tcMar>
          </w:tcPr>
          <w:p w14:paraId="06ECE506" w14:textId="77777777" w:rsidR="0075283B" w:rsidRDefault="00000000">
            <w:pPr>
              <w:jc w:val="center"/>
            </w:pPr>
            <w:r>
              <w:rPr>
                <w:color w:val="000000"/>
                <w:sz w:val="20"/>
                <w:szCs w:val="20"/>
              </w:rPr>
              <w:t>5.97%</w:t>
            </w:r>
          </w:p>
        </w:tc>
      </w:tr>
      <w:tr w:rsidR="0075283B" w14:paraId="30F0E336" w14:textId="77777777">
        <w:tc>
          <w:tcPr>
            <w:tcW w:w="3120" w:type="dxa"/>
            <w:tcBorders>
              <w:top w:val="single" w:sz="1" w:space="0" w:color="CCCCCC"/>
              <w:left w:val="single" w:sz="1" w:space="0" w:color="CCCCCC"/>
              <w:bottom w:val="single" w:sz="1" w:space="0" w:color="CCCCCC"/>
              <w:right w:val="single" w:sz="1" w:space="0" w:color="CCCCCC"/>
            </w:tcBorders>
            <w:shd w:val="clear" w:color="auto" w:fill="F2F7FB"/>
            <w:tcMar>
              <w:top w:w="80" w:type="dxa"/>
              <w:left w:w="120" w:type="dxa"/>
              <w:bottom w:w="80" w:type="dxa"/>
              <w:right w:w="120" w:type="dxa"/>
            </w:tcMar>
          </w:tcPr>
          <w:p w14:paraId="21901B38" w14:textId="77777777" w:rsidR="0075283B" w:rsidRDefault="00000000">
            <w:pPr>
              <w:jc w:val="center"/>
            </w:pPr>
            <w:r>
              <w:rPr>
                <w:color w:val="000000"/>
                <w:sz w:val="20"/>
                <w:szCs w:val="20"/>
              </w:rPr>
              <w:t>2017</w:t>
            </w:r>
          </w:p>
        </w:tc>
        <w:tc>
          <w:tcPr>
            <w:tcW w:w="312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3070E732" w14:textId="77777777" w:rsidR="0075283B" w:rsidRDefault="00000000">
            <w:pPr>
              <w:jc w:val="center"/>
            </w:pPr>
            <w:r>
              <w:rPr>
                <w:color w:val="000000"/>
                <w:sz w:val="20"/>
                <w:szCs w:val="20"/>
              </w:rPr>
              <w:t>53</w:t>
            </w:r>
          </w:p>
        </w:tc>
        <w:tc>
          <w:tcPr>
            <w:tcW w:w="3120" w:type="dxa"/>
            <w:tcBorders>
              <w:top w:val="single" w:sz="1" w:space="0" w:color="CCCCCC"/>
              <w:left w:val="single" w:sz="1" w:space="0" w:color="CCCCCC"/>
              <w:bottom w:val="single" w:sz="1" w:space="0" w:color="CCCCCC"/>
              <w:right w:val="single" w:sz="1" w:space="0" w:color="CCCCCC"/>
            </w:tcBorders>
            <w:shd w:val="clear" w:color="auto" w:fill="F2F7FB"/>
            <w:tcMar>
              <w:top w:w="80" w:type="dxa"/>
              <w:left w:w="120" w:type="dxa"/>
              <w:bottom w:w="80" w:type="dxa"/>
              <w:right w:w="120" w:type="dxa"/>
            </w:tcMar>
          </w:tcPr>
          <w:p w14:paraId="76623750" w14:textId="77777777" w:rsidR="0075283B" w:rsidRDefault="00000000">
            <w:pPr>
              <w:jc w:val="center"/>
            </w:pPr>
            <w:r>
              <w:rPr>
                <w:color w:val="000000"/>
                <w:sz w:val="20"/>
                <w:szCs w:val="20"/>
              </w:rPr>
              <w:t>4.27%</w:t>
            </w:r>
          </w:p>
        </w:tc>
      </w:tr>
      <w:tr w:rsidR="0075283B" w14:paraId="537E93EE" w14:textId="77777777">
        <w:tc>
          <w:tcPr>
            <w:tcW w:w="3120" w:type="dxa"/>
            <w:tcBorders>
              <w:top w:val="single" w:sz="1" w:space="0" w:color="CCCCCC"/>
              <w:left w:val="single" w:sz="1" w:space="0" w:color="CCCCCC"/>
              <w:bottom w:val="single" w:sz="1" w:space="0" w:color="CCCCCC"/>
              <w:right w:val="single" w:sz="1" w:space="0" w:color="CCCCCC"/>
            </w:tcBorders>
            <w:shd w:val="clear" w:color="auto" w:fill="F2F7FB"/>
            <w:tcMar>
              <w:top w:w="80" w:type="dxa"/>
              <w:left w:w="120" w:type="dxa"/>
              <w:bottom w:w="80" w:type="dxa"/>
              <w:right w:w="120" w:type="dxa"/>
            </w:tcMar>
          </w:tcPr>
          <w:p w14:paraId="24495EDE" w14:textId="77777777" w:rsidR="0075283B" w:rsidRDefault="00000000">
            <w:pPr>
              <w:jc w:val="center"/>
            </w:pPr>
            <w:r>
              <w:rPr>
                <w:color w:val="000000"/>
                <w:sz w:val="20"/>
                <w:szCs w:val="20"/>
              </w:rPr>
              <w:t>2018</w:t>
            </w:r>
          </w:p>
        </w:tc>
        <w:tc>
          <w:tcPr>
            <w:tcW w:w="312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2DC932BB" w14:textId="77777777" w:rsidR="0075283B" w:rsidRDefault="00000000">
            <w:pPr>
              <w:jc w:val="center"/>
            </w:pPr>
            <w:r>
              <w:rPr>
                <w:color w:val="000000"/>
                <w:sz w:val="20"/>
                <w:szCs w:val="20"/>
              </w:rPr>
              <w:t>88</w:t>
            </w:r>
          </w:p>
        </w:tc>
        <w:tc>
          <w:tcPr>
            <w:tcW w:w="3120" w:type="dxa"/>
            <w:tcBorders>
              <w:top w:val="single" w:sz="1" w:space="0" w:color="CCCCCC"/>
              <w:left w:val="single" w:sz="1" w:space="0" w:color="CCCCCC"/>
              <w:bottom w:val="single" w:sz="1" w:space="0" w:color="CCCCCC"/>
              <w:right w:val="single" w:sz="1" w:space="0" w:color="CCCCCC"/>
            </w:tcBorders>
            <w:shd w:val="clear" w:color="auto" w:fill="F2F7FB"/>
            <w:tcMar>
              <w:top w:w="80" w:type="dxa"/>
              <w:left w:w="120" w:type="dxa"/>
              <w:bottom w:w="80" w:type="dxa"/>
              <w:right w:w="120" w:type="dxa"/>
            </w:tcMar>
          </w:tcPr>
          <w:p w14:paraId="1AABFFBC" w14:textId="77777777" w:rsidR="0075283B" w:rsidRDefault="00000000">
            <w:pPr>
              <w:jc w:val="center"/>
            </w:pPr>
            <w:r>
              <w:rPr>
                <w:color w:val="000000"/>
                <w:sz w:val="20"/>
                <w:szCs w:val="20"/>
              </w:rPr>
              <w:t>7.10%</w:t>
            </w:r>
          </w:p>
        </w:tc>
      </w:tr>
      <w:tr w:rsidR="0075283B" w14:paraId="6ADB63D8" w14:textId="77777777">
        <w:tc>
          <w:tcPr>
            <w:tcW w:w="3120" w:type="dxa"/>
            <w:tcBorders>
              <w:top w:val="single" w:sz="1" w:space="0" w:color="CCCCCC"/>
              <w:left w:val="single" w:sz="1" w:space="0" w:color="CCCCCC"/>
              <w:bottom w:val="single" w:sz="1" w:space="0" w:color="CCCCCC"/>
              <w:right w:val="single" w:sz="1" w:space="0" w:color="CCCCCC"/>
            </w:tcBorders>
            <w:shd w:val="clear" w:color="auto" w:fill="F2F7FB"/>
            <w:tcMar>
              <w:top w:w="80" w:type="dxa"/>
              <w:left w:w="120" w:type="dxa"/>
              <w:bottom w:w="80" w:type="dxa"/>
              <w:right w:w="120" w:type="dxa"/>
            </w:tcMar>
          </w:tcPr>
          <w:p w14:paraId="39FDF9FD" w14:textId="77777777" w:rsidR="0075283B" w:rsidRDefault="00000000">
            <w:pPr>
              <w:jc w:val="center"/>
            </w:pPr>
            <w:r>
              <w:rPr>
                <w:color w:val="000000"/>
                <w:sz w:val="20"/>
                <w:szCs w:val="20"/>
              </w:rPr>
              <w:lastRenderedPageBreak/>
              <w:t>2019</w:t>
            </w:r>
          </w:p>
        </w:tc>
        <w:tc>
          <w:tcPr>
            <w:tcW w:w="312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5F6C214C" w14:textId="77777777" w:rsidR="0075283B" w:rsidRDefault="00000000">
            <w:pPr>
              <w:jc w:val="center"/>
            </w:pPr>
            <w:r>
              <w:rPr>
                <w:color w:val="000000"/>
                <w:sz w:val="20"/>
                <w:szCs w:val="20"/>
              </w:rPr>
              <w:t>103</w:t>
            </w:r>
          </w:p>
        </w:tc>
        <w:tc>
          <w:tcPr>
            <w:tcW w:w="3120" w:type="dxa"/>
            <w:tcBorders>
              <w:top w:val="single" w:sz="1" w:space="0" w:color="CCCCCC"/>
              <w:left w:val="single" w:sz="1" w:space="0" w:color="CCCCCC"/>
              <w:bottom w:val="single" w:sz="1" w:space="0" w:color="CCCCCC"/>
              <w:right w:val="single" w:sz="1" w:space="0" w:color="CCCCCC"/>
            </w:tcBorders>
            <w:shd w:val="clear" w:color="auto" w:fill="F2F7FB"/>
            <w:tcMar>
              <w:top w:w="80" w:type="dxa"/>
              <w:left w:w="120" w:type="dxa"/>
              <w:bottom w:w="80" w:type="dxa"/>
              <w:right w:w="120" w:type="dxa"/>
            </w:tcMar>
          </w:tcPr>
          <w:p w14:paraId="524637E6" w14:textId="77777777" w:rsidR="0075283B" w:rsidRDefault="00000000">
            <w:pPr>
              <w:jc w:val="center"/>
            </w:pPr>
            <w:r>
              <w:rPr>
                <w:color w:val="000000"/>
                <w:sz w:val="20"/>
                <w:szCs w:val="20"/>
              </w:rPr>
              <w:t>8.31%</w:t>
            </w:r>
          </w:p>
        </w:tc>
      </w:tr>
      <w:tr w:rsidR="0075283B" w14:paraId="592AEC7C" w14:textId="77777777">
        <w:tc>
          <w:tcPr>
            <w:tcW w:w="3120" w:type="dxa"/>
            <w:tcBorders>
              <w:top w:val="single" w:sz="1" w:space="0" w:color="CCCCCC"/>
              <w:left w:val="single" w:sz="1" w:space="0" w:color="CCCCCC"/>
              <w:bottom w:val="single" w:sz="1" w:space="0" w:color="CCCCCC"/>
              <w:right w:val="single" w:sz="1" w:space="0" w:color="CCCCCC"/>
            </w:tcBorders>
            <w:shd w:val="clear" w:color="auto" w:fill="F2F7FB"/>
            <w:tcMar>
              <w:top w:w="80" w:type="dxa"/>
              <w:left w:w="120" w:type="dxa"/>
              <w:bottom w:w="80" w:type="dxa"/>
              <w:right w:w="120" w:type="dxa"/>
            </w:tcMar>
          </w:tcPr>
          <w:p w14:paraId="7D9247E1" w14:textId="77777777" w:rsidR="0075283B" w:rsidRDefault="00000000">
            <w:pPr>
              <w:jc w:val="center"/>
            </w:pPr>
            <w:r>
              <w:rPr>
                <w:color w:val="000000"/>
                <w:sz w:val="20"/>
                <w:szCs w:val="20"/>
              </w:rPr>
              <w:t>2020</w:t>
            </w:r>
          </w:p>
        </w:tc>
        <w:tc>
          <w:tcPr>
            <w:tcW w:w="312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6FDC9106" w14:textId="77777777" w:rsidR="0075283B" w:rsidRDefault="00000000">
            <w:pPr>
              <w:jc w:val="center"/>
            </w:pPr>
            <w:r>
              <w:rPr>
                <w:color w:val="000000"/>
                <w:sz w:val="20"/>
                <w:szCs w:val="20"/>
              </w:rPr>
              <w:t>104</w:t>
            </w:r>
          </w:p>
        </w:tc>
        <w:tc>
          <w:tcPr>
            <w:tcW w:w="3120" w:type="dxa"/>
            <w:tcBorders>
              <w:top w:val="single" w:sz="1" w:space="0" w:color="CCCCCC"/>
              <w:left w:val="single" w:sz="1" w:space="0" w:color="CCCCCC"/>
              <w:bottom w:val="single" w:sz="1" w:space="0" w:color="CCCCCC"/>
              <w:right w:val="single" w:sz="1" w:space="0" w:color="CCCCCC"/>
            </w:tcBorders>
            <w:shd w:val="clear" w:color="auto" w:fill="F2F7FB"/>
            <w:tcMar>
              <w:top w:w="80" w:type="dxa"/>
              <w:left w:w="120" w:type="dxa"/>
              <w:bottom w:w="80" w:type="dxa"/>
              <w:right w:w="120" w:type="dxa"/>
            </w:tcMar>
          </w:tcPr>
          <w:p w14:paraId="7BB490FB" w14:textId="77777777" w:rsidR="0075283B" w:rsidRDefault="00000000">
            <w:pPr>
              <w:jc w:val="center"/>
            </w:pPr>
            <w:r>
              <w:rPr>
                <w:color w:val="000000"/>
                <w:sz w:val="20"/>
                <w:szCs w:val="20"/>
              </w:rPr>
              <w:t>8.39%</w:t>
            </w:r>
          </w:p>
        </w:tc>
      </w:tr>
      <w:tr w:rsidR="0075283B" w14:paraId="0B85294D" w14:textId="77777777">
        <w:tc>
          <w:tcPr>
            <w:tcW w:w="3120" w:type="dxa"/>
            <w:tcBorders>
              <w:top w:val="single" w:sz="1" w:space="0" w:color="CCCCCC"/>
              <w:left w:val="single" w:sz="1" w:space="0" w:color="CCCCCC"/>
              <w:bottom w:val="single" w:sz="1" w:space="0" w:color="CCCCCC"/>
              <w:right w:val="single" w:sz="1" w:space="0" w:color="CCCCCC"/>
            </w:tcBorders>
            <w:shd w:val="clear" w:color="auto" w:fill="F2F7FB"/>
            <w:tcMar>
              <w:top w:w="80" w:type="dxa"/>
              <w:left w:w="120" w:type="dxa"/>
              <w:bottom w:w="80" w:type="dxa"/>
              <w:right w:w="120" w:type="dxa"/>
            </w:tcMar>
          </w:tcPr>
          <w:p w14:paraId="5EBF4243" w14:textId="77777777" w:rsidR="0075283B" w:rsidRDefault="00000000">
            <w:pPr>
              <w:jc w:val="center"/>
            </w:pPr>
            <w:r>
              <w:rPr>
                <w:color w:val="000000"/>
                <w:sz w:val="20"/>
                <w:szCs w:val="20"/>
              </w:rPr>
              <w:t>2021</w:t>
            </w:r>
          </w:p>
        </w:tc>
        <w:tc>
          <w:tcPr>
            <w:tcW w:w="312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6A5DEFC9" w14:textId="77777777" w:rsidR="0075283B" w:rsidRDefault="00000000">
            <w:pPr>
              <w:jc w:val="center"/>
            </w:pPr>
            <w:r>
              <w:rPr>
                <w:color w:val="000000"/>
                <w:sz w:val="20"/>
                <w:szCs w:val="20"/>
              </w:rPr>
              <w:t>68</w:t>
            </w:r>
          </w:p>
        </w:tc>
        <w:tc>
          <w:tcPr>
            <w:tcW w:w="3120" w:type="dxa"/>
            <w:tcBorders>
              <w:top w:val="single" w:sz="1" w:space="0" w:color="CCCCCC"/>
              <w:left w:val="single" w:sz="1" w:space="0" w:color="CCCCCC"/>
              <w:bottom w:val="single" w:sz="1" w:space="0" w:color="CCCCCC"/>
              <w:right w:val="single" w:sz="1" w:space="0" w:color="CCCCCC"/>
            </w:tcBorders>
            <w:shd w:val="clear" w:color="auto" w:fill="F2F7FB"/>
            <w:tcMar>
              <w:top w:w="80" w:type="dxa"/>
              <w:left w:w="120" w:type="dxa"/>
              <w:bottom w:w="80" w:type="dxa"/>
              <w:right w:w="120" w:type="dxa"/>
            </w:tcMar>
          </w:tcPr>
          <w:p w14:paraId="30C4DDFE" w14:textId="77777777" w:rsidR="0075283B" w:rsidRDefault="00000000">
            <w:pPr>
              <w:jc w:val="center"/>
            </w:pPr>
            <w:r>
              <w:rPr>
                <w:color w:val="000000"/>
                <w:sz w:val="20"/>
                <w:szCs w:val="20"/>
              </w:rPr>
              <w:t>5.48%</w:t>
            </w:r>
          </w:p>
        </w:tc>
      </w:tr>
      <w:tr w:rsidR="0075283B" w14:paraId="65757F1C" w14:textId="77777777">
        <w:tc>
          <w:tcPr>
            <w:tcW w:w="3120" w:type="dxa"/>
            <w:tcBorders>
              <w:top w:val="single" w:sz="1" w:space="0" w:color="CCCCCC"/>
              <w:left w:val="single" w:sz="1" w:space="0" w:color="CCCCCC"/>
              <w:bottom w:val="single" w:sz="1" w:space="0" w:color="CCCCCC"/>
              <w:right w:val="single" w:sz="1" w:space="0" w:color="CCCCCC"/>
            </w:tcBorders>
            <w:shd w:val="clear" w:color="auto" w:fill="F2F7FB"/>
            <w:tcMar>
              <w:top w:w="80" w:type="dxa"/>
              <w:left w:w="120" w:type="dxa"/>
              <w:bottom w:w="80" w:type="dxa"/>
              <w:right w:w="120" w:type="dxa"/>
            </w:tcMar>
          </w:tcPr>
          <w:p w14:paraId="0E8E2227" w14:textId="77777777" w:rsidR="0075283B" w:rsidRDefault="00000000">
            <w:pPr>
              <w:jc w:val="center"/>
            </w:pPr>
            <w:r>
              <w:rPr>
                <w:color w:val="000000"/>
                <w:sz w:val="20"/>
                <w:szCs w:val="20"/>
              </w:rPr>
              <w:t>2022</w:t>
            </w:r>
          </w:p>
        </w:tc>
        <w:tc>
          <w:tcPr>
            <w:tcW w:w="312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7DC0E7F7" w14:textId="77777777" w:rsidR="0075283B" w:rsidRDefault="00000000">
            <w:pPr>
              <w:jc w:val="center"/>
            </w:pPr>
            <w:r>
              <w:rPr>
                <w:color w:val="000000"/>
                <w:sz w:val="20"/>
                <w:szCs w:val="20"/>
              </w:rPr>
              <w:t>55</w:t>
            </w:r>
          </w:p>
        </w:tc>
        <w:tc>
          <w:tcPr>
            <w:tcW w:w="3120" w:type="dxa"/>
            <w:tcBorders>
              <w:top w:val="single" w:sz="1" w:space="0" w:color="CCCCCC"/>
              <w:left w:val="single" w:sz="1" w:space="0" w:color="CCCCCC"/>
              <w:bottom w:val="single" w:sz="1" w:space="0" w:color="CCCCCC"/>
              <w:right w:val="single" w:sz="1" w:space="0" w:color="CCCCCC"/>
            </w:tcBorders>
            <w:shd w:val="clear" w:color="auto" w:fill="F2F7FB"/>
            <w:tcMar>
              <w:top w:w="80" w:type="dxa"/>
              <w:left w:w="120" w:type="dxa"/>
              <w:bottom w:w="80" w:type="dxa"/>
              <w:right w:w="120" w:type="dxa"/>
            </w:tcMar>
          </w:tcPr>
          <w:p w14:paraId="6C8FD89A" w14:textId="77777777" w:rsidR="0075283B" w:rsidRDefault="00000000">
            <w:pPr>
              <w:jc w:val="center"/>
            </w:pPr>
            <w:r>
              <w:rPr>
                <w:color w:val="000000"/>
                <w:sz w:val="20"/>
                <w:szCs w:val="20"/>
              </w:rPr>
              <w:t>4.44%</w:t>
            </w:r>
          </w:p>
        </w:tc>
      </w:tr>
      <w:tr w:rsidR="0075283B" w14:paraId="6A68F1B7" w14:textId="77777777">
        <w:tc>
          <w:tcPr>
            <w:tcW w:w="3120" w:type="dxa"/>
            <w:tcBorders>
              <w:top w:val="single" w:sz="1" w:space="0" w:color="CCCCCC"/>
              <w:left w:val="single" w:sz="1" w:space="0" w:color="CCCCCC"/>
              <w:bottom w:val="single" w:sz="1" w:space="0" w:color="CCCCCC"/>
              <w:right w:val="single" w:sz="1" w:space="0" w:color="CCCCCC"/>
            </w:tcBorders>
            <w:shd w:val="clear" w:color="auto" w:fill="F2F7FB"/>
            <w:tcMar>
              <w:top w:w="80" w:type="dxa"/>
              <w:left w:w="120" w:type="dxa"/>
              <w:bottom w:w="80" w:type="dxa"/>
              <w:right w:w="120" w:type="dxa"/>
            </w:tcMar>
          </w:tcPr>
          <w:p w14:paraId="679A360D" w14:textId="77777777" w:rsidR="0075283B" w:rsidRDefault="00000000">
            <w:pPr>
              <w:jc w:val="center"/>
            </w:pPr>
            <w:r>
              <w:rPr>
                <w:color w:val="000000"/>
                <w:sz w:val="20"/>
                <w:szCs w:val="20"/>
              </w:rPr>
              <w:t>2023</w:t>
            </w:r>
          </w:p>
        </w:tc>
        <w:tc>
          <w:tcPr>
            <w:tcW w:w="312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22188B9B" w14:textId="77777777" w:rsidR="0075283B" w:rsidRDefault="00000000">
            <w:pPr>
              <w:jc w:val="center"/>
            </w:pPr>
            <w:r>
              <w:rPr>
                <w:color w:val="000000"/>
                <w:sz w:val="20"/>
                <w:szCs w:val="20"/>
              </w:rPr>
              <w:t>80</w:t>
            </w:r>
          </w:p>
        </w:tc>
        <w:tc>
          <w:tcPr>
            <w:tcW w:w="3120" w:type="dxa"/>
            <w:tcBorders>
              <w:top w:val="single" w:sz="1" w:space="0" w:color="CCCCCC"/>
              <w:left w:val="single" w:sz="1" w:space="0" w:color="CCCCCC"/>
              <w:bottom w:val="single" w:sz="1" w:space="0" w:color="CCCCCC"/>
              <w:right w:val="single" w:sz="1" w:space="0" w:color="CCCCCC"/>
            </w:tcBorders>
            <w:shd w:val="clear" w:color="auto" w:fill="F2F7FB"/>
            <w:tcMar>
              <w:top w:w="80" w:type="dxa"/>
              <w:left w:w="120" w:type="dxa"/>
              <w:bottom w:w="80" w:type="dxa"/>
              <w:right w:w="120" w:type="dxa"/>
            </w:tcMar>
          </w:tcPr>
          <w:p w14:paraId="22B08EF4" w14:textId="77777777" w:rsidR="0075283B" w:rsidRDefault="00000000">
            <w:pPr>
              <w:jc w:val="center"/>
            </w:pPr>
            <w:r>
              <w:rPr>
                <w:color w:val="000000"/>
                <w:sz w:val="20"/>
                <w:szCs w:val="20"/>
              </w:rPr>
              <w:t>6.45%</w:t>
            </w:r>
          </w:p>
        </w:tc>
      </w:tr>
      <w:tr w:rsidR="0075283B" w14:paraId="7A59746C" w14:textId="77777777">
        <w:tc>
          <w:tcPr>
            <w:tcW w:w="3120" w:type="dxa"/>
            <w:tcBorders>
              <w:top w:val="single" w:sz="1" w:space="0" w:color="CCCCCC"/>
              <w:left w:val="single" w:sz="1" w:space="0" w:color="CCCCCC"/>
              <w:bottom w:val="single" w:sz="1" w:space="0" w:color="CCCCCC"/>
              <w:right w:val="single" w:sz="1" w:space="0" w:color="CCCCCC"/>
            </w:tcBorders>
            <w:shd w:val="clear" w:color="auto" w:fill="F2F7FB"/>
            <w:tcMar>
              <w:top w:w="80" w:type="dxa"/>
              <w:left w:w="120" w:type="dxa"/>
              <w:bottom w:w="80" w:type="dxa"/>
              <w:right w:w="120" w:type="dxa"/>
            </w:tcMar>
          </w:tcPr>
          <w:p w14:paraId="570DF9D5" w14:textId="77777777" w:rsidR="0075283B" w:rsidRDefault="00000000">
            <w:pPr>
              <w:jc w:val="center"/>
            </w:pPr>
            <w:r>
              <w:rPr>
                <w:color w:val="000000"/>
                <w:sz w:val="20"/>
                <w:szCs w:val="20"/>
              </w:rPr>
              <w:t>2024</w:t>
            </w:r>
          </w:p>
        </w:tc>
        <w:tc>
          <w:tcPr>
            <w:tcW w:w="312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4E363FFD" w14:textId="77777777" w:rsidR="0075283B" w:rsidRDefault="00000000">
            <w:pPr>
              <w:jc w:val="center"/>
            </w:pPr>
            <w:r>
              <w:rPr>
                <w:color w:val="000000"/>
                <w:sz w:val="20"/>
                <w:szCs w:val="20"/>
              </w:rPr>
              <w:t>61</w:t>
            </w:r>
          </w:p>
        </w:tc>
        <w:tc>
          <w:tcPr>
            <w:tcW w:w="3120" w:type="dxa"/>
            <w:tcBorders>
              <w:top w:val="single" w:sz="1" w:space="0" w:color="CCCCCC"/>
              <w:left w:val="single" w:sz="1" w:space="0" w:color="CCCCCC"/>
              <w:bottom w:val="single" w:sz="1" w:space="0" w:color="CCCCCC"/>
              <w:right w:val="single" w:sz="1" w:space="0" w:color="CCCCCC"/>
            </w:tcBorders>
            <w:shd w:val="clear" w:color="auto" w:fill="F2F7FB"/>
            <w:tcMar>
              <w:top w:w="80" w:type="dxa"/>
              <w:left w:w="120" w:type="dxa"/>
              <w:bottom w:w="80" w:type="dxa"/>
              <w:right w:w="120" w:type="dxa"/>
            </w:tcMar>
          </w:tcPr>
          <w:p w14:paraId="12419E10" w14:textId="77777777" w:rsidR="0075283B" w:rsidRDefault="00000000">
            <w:pPr>
              <w:jc w:val="center"/>
            </w:pPr>
            <w:r>
              <w:rPr>
                <w:color w:val="000000"/>
                <w:sz w:val="20"/>
                <w:szCs w:val="20"/>
              </w:rPr>
              <w:t>4.92%</w:t>
            </w:r>
          </w:p>
        </w:tc>
      </w:tr>
      <w:tr w:rsidR="0075283B" w14:paraId="31086D80" w14:textId="77777777">
        <w:tc>
          <w:tcPr>
            <w:tcW w:w="3120" w:type="dxa"/>
            <w:tcBorders>
              <w:top w:val="single" w:sz="1" w:space="0" w:color="CCCCCC"/>
              <w:left w:val="single" w:sz="1" w:space="0" w:color="CCCCCC"/>
              <w:bottom w:val="single" w:sz="1" w:space="0" w:color="CCCCCC"/>
              <w:right w:val="single" w:sz="1" w:space="0" w:color="CCCCCC"/>
            </w:tcBorders>
            <w:shd w:val="clear" w:color="auto" w:fill="F2F7FB"/>
            <w:tcMar>
              <w:top w:w="80" w:type="dxa"/>
              <w:left w:w="120" w:type="dxa"/>
              <w:bottom w:w="80" w:type="dxa"/>
              <w:right w:w="120" w:type="dxa"/>
            </w:tcMar>
          </w:tcPr>
          <w:p w14:paraId="54D43E4E" w14:textId="77777777" w:rsidR="0075283B" w:rsidRDefault="00000000">
            <w:pPr>
              <w:jc w:val="center"/>
            </w:pPr>
            <w:r>
              <w:rPr>
                <w:color w:val="000000"/>
                <w:sz w:val="20"/>
                <w:szCs w:val="20"/>
              </w:rPr>
              <w:t>2025</w:t>
            </w:r>
          </w:p>
        </w:tc>
        <w:tc>
          <w:tcPr>
            <w:tcW w:w="312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6D6725E7" w14:textId="77777777" w:rsidR="0075283B" w:rsidRDefault="00000000">
            <w:pPr>
              <w:jc w:val="center"/>
            </w:pPr>
            <w:r>
              <w:rPr>
                <w:color w:val="000000"/>
                <w:sz w:val="20"/>
                <w:szCs w:val="20"/>
              </w:rPr>
              <w:t>85</w:t>
            </w:r>
          </w:p>
        </w:tc>
        <w:tc>
          <w:tcPr>
            <w:tcW w:w="3120" w:type="dxa"/>
            <w:tcBorders>
              <w:top w:val="single" w:sz="1" w:space="0" w:color="CCCCCC"/>
              <w:left w:val="single" w:sz="1" w:space="0" w:color="CCCCCC"/>
              <w:bottom w:val="single" w:sz="1" w:space="0" w:color="CCCCCC"/>
              <w:right w:val="single" w:sz="1" w:space="0" w:color="CCCCCC"/>
            </w:tcBorders>
            <w:shd w:val="clear" w:color="auto" w:fill="F2F7FB"/>
            <w:tcMar>
              <w:top w:w="80" w:type="dxa"/>
              <w:left w:w="120" w:type="dxa"/>
              <w:bottom w:w="80" w:type="dxa"/>
              <w:right w:w="120" w:type="dxa"/>
            </w:tcMar>
          </w:tcPr>
          <w:p w14:paraId="2925FA84" w14:textId="77777777" w:rsidR="0075283B" w:rsidRDefault="00000000">
            <w:pPr>
              <w:jc w:val="center"/>
            </w:pPr>
            <w:r>
              <w:rPr>
                <w:color w:val="000000"/>
                <w:sz w:val="20"/>
                <w:szCs w:val="20"/>
              </w:rPr>
              <w:t>6.85%</w:t>
            </w:r>
          </w:p>
        </w:tc>
      </w:tr>
      <w:tr w:rsidR="0075283B" w14:paraId="48EAD96F" w14:textId="77777777">
        <w:tc>
          <w:tcPr>
            <w:tcW w:w="3120" w:type="dxa"/>
            <w:tcBorders>
              <w:top w:val="single" w:sz="1" w:space="0" w:color="CCCCCC"/>
              <w:left w:val="single" w:sz="1" w:space="0" w:color="CCCCCC"/>
              <w:bottom w:val="single" w:sz="1" w:space="0" w:color="CCCCCC"/>
              <w:right w:val="single" w:sz="1" w:space="0" w:color="CCCCCC"/>
            </w:tcBorders>
            <w:shd w:val="clear" w:color="auto" w:fill="F2F7FB"/>
            <w:tcMar>
              <w:top w:w="80" w:type="dxa"/>
              <w:left w:w="120" w:type="dxa"/>
              <w:bottom w:w="80" w:type="dxa"/>
              <w:right w:w="120" w:type="dxa"/>
            </w:tcMar>
          </w:tcPr>
          <w:p w14:paraId="2B5D8F48" w14:textId="77777777" w:rsidR="0075283B" w:rsidRDefault="00000000">
            <w:pPr>
              <w:jc w:val="center"/>
            </w:pPr>
            <w:r>
              <w:rPr>
                <w:color w:val="000000"/>
                <w:sz w:val="20"/>
                <w:szCs w:val="20"/>
              </w:rPr>
              <w:t>2026*</w:t>
            </w:r>
          </w:p>
        </w:tc>
        <w:tc>
          <w:tcPr>
            <w:tcW w:w="312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3F4E9772" w14:textId="77777777" w:rsidR="0075283B" w:rsidRDefault="00000000">
            <w:pPr>
              <w:jc w:val="center"/>
            </w:pPr>
            <w:r>
              <w:rPr>
                <w:color w:val="000000"/>
                <w:sz w:val="20"/>
                <w:szCs w:val="20"/>
              </w:rPr>
              <w:t>7</w:t>
            </w:r>
          </w:p>
        </w:tc>
        <w:tc>
          <w:tcPr>
            <w:tcW w:w="3120" w:type="dxa"/>
            <w:tcBorders>
              <w:top w:val="single" w:sz="1" w:space="0" w:color="CCCCCC"/>
              <w:left w:val="single" w:sz="1" w:space="0" w:color="CCCCCC"/>
              <w:bottom w:val="single" w:sz="1" w:space="0" w:color="CCCCCC"/>
              <w:right w:val="single" w:sz="1" w:space="0" w:color="CCCCCC"/>
            </w:tcBorders>
            <w:shd w:val="clear" w:color="auto" w:fill="F2F7FB"/>
            <w:tcMar>
              <w:top w:w="80" w:type="dxa"/>
              <w:left w:w="120" w:type="dxa"/>
              <w:bottom w:w="80" w:type="dxa"/>
              <w:right w:w="120" w:type="dxa"/>
            </w:tcMar>
          </w:tcPr>
          <w:p w14:paraId="4514C588" w14:textId="77777777" w:rsidR="0075283B" w:rsidRDefault="00000000">
            <w:pPr>
              <w:jc w:val="center"/>
            </w:pPr>
            <w:r>
              <w:rPr>
                <w:color w:val="000000"/>
                <w:sz w:val="20"/>
                <w:szCs w:val="20"/>
              </w:rPr>
              <w:t>0.56%</w:t>
            </w:r>
          </w:p>
        </w:tc>
      </w:tr>
      <w:tr w:rsidR="0075283B" w14:paraId="3E2957F2" w14:textId="77777777">
        <w:tc>
          <w:tcPr>
            <w:tcW w:w="3120" w:type="dxa"/>
            <w:tcBorders>
              <w:top w:val="single" w:sz="1" w:space="0" w:color="CCCCCC"/>
              <w:left w:val="single" w:sz="1" w:space="0" w:color="CCCCCC"/>
              <w:bottom w:val="single" w:sz="1" w:space="0" w:color="CCCCCC"/>
              <w:right w:val="single" w:sz="1" w:space="0" w:color="CCCCCC"/>
            </w:tcBorders>
            <w:shd w:val="clear" w:color="auto" w:fill="D6E4F0"/>
            <w:tcMar>
              <w:top w:w="80" w:type="dxa"/>
              <w:left w:w="120" w:type="dxa"/>
              <w:bottom w:w="80" w:type="dxa"/>
              <w:right w:w="120" w:type="dxa"/>
            </w:tcMar>
          </w:tcPr>
          <w:p w14:paraId="74A447CB" w14:textId="77777777" w:rsidR="0075283B" w:rsidRDefault="00000000">
            <w:r>
              <w:rPr>
                <w:b/>
                <w:bCs/>
                <w:sz w:val="20"/>
                <w:szCs w:val="20"/>
              </w:rPr>
              <w:t>Total</w:t>
            </w:r>
          </w:p>
        </w:tc>
        <w:tc>
          <w:tcPr>
            <w:tcW w:w="3120" w:type="dxa"/>
            <w:tcBorders>
              <w:top w:val="single" w:sz="1" w:space="0" w:color="CCCCCC"/>
              <w:left w:val="single" w:sz="1" w:space="0" w:color="CCCCCC"/>
              <w:bottom w:val="single" w:sz="1" w:space="0" w:color="CCCCCC"/>
              <w:right w:val="single" w:sz="1" w:space="0" w:color="CCCCCC"/>
            </w:tcBorders>
            <w:shd w:val="clear" w:color="auto" w:fill="D6E4F0"/>
            <w:tcMar>
              <w:top w:w="80" w:type="dxa"/>
              <w:left w:w="120" w:type="dxa"/>
              <w:bottom w:w="80" w:type="dxa"/>
              <w:right w:w="120" w:type="dxa"/>
            </w:tcMar>
          </w:tcPr>
          <w:p w14:paraId="5D633A18" w14:textId="77777777" w:rsidR="0075283B" w:rsidRDefault="00000000">
            <w:pPr>
              <w:jc w:val="center"/>
            </w:pPr>
            <w:r>
              <w:rPr>
                <w:b/>
                <w:bCs/>
                <w:sz w:val="20"/>
                <w:szCs w:val="20"/>
              </w:rPr>
              <w:t>1,240</w:t>
            </w:r>
          </w:p>
        </w:tc>
        <w:tc>
          <w:tcPr>
            <w:tcW w:w="3120" w:type="dxa"/>
            <w:tcBorders>
              <w:top w:val="single" w:sz="1" w:space="0" w:color="CCCCCC"/>
              <w:left w:val="single" w:sz="1" w:space="0" w:color="CCCCCC"/>
              <w:bottom w:val="single" w:sz="1" w:space="0" w:color="CCCCCC"/>
              <w:right w:val="single" w:sz="1" w:space="0" w:color="CCCCCC"/>
            </w:tcBorders>
            <w:shd w:val="clear" w:color="auto" w:fill="D6E4F0"/>
            <w:tcMar>
              <w:top w:w="80" w:type="dxa"/>
              <w:left w:w="120" w:type="dxa"/>
              <w:bottom w:w="80" w:type="dxa"/>
              <w:right w:w="120" w:type="dxa"/>
            </w:tcMar>
          </w:tcPr>
          <w:p w14:paraId="42B89498" w14:textId="77777777" w:rsidR="0075283B" w:rsidRDefault="00000000">
            <w:pPr>
              <w:jc w:val="center"/>
            </w:pPr>
            <w:r>
              <w:rPr>
                <w:b/>
                <w:bCs/>
                <w:sz w:val="20"/>
                <w:szCs w:val="20"/>
              </w:rPr>
              <w:t>100.00%</w:t>
            </w:r>
          </w:p>
        </w:tc>
      </w:tr>
    </w:tbl>
    <w:p w14:paraId="531FB8C1" w14:textId="77777777" w:rsidR="0075283B" w:rsidRDefault="00000000">
      <w:pPr>
        <w:spacing w:before="60" w:after="200"/>
      </w:pPr>
      <w:r>
        <w:rPr>
          <w:i/>
          <w:iCs/>
          <w:color w:val="595959"/>
          <w:sz w:val="18"/>
          <w:szCs w:val="18"/>
        </w:rPr>
        <w:t>* Partial year data through March 30, 2026.</w:t>
      </w:r>
    </w:p>
    <w:p w14:paraId="02FF95CA" w14:textId="77777777" w:rsidR="0075283B" w:rsidRDefault="00000000">
      <w:pPr>
        <w:pStyle w:val="Heading2"/>
      </w:pPr>
      <w:r>
        <w:t>3.2 Most Frequently Reported Adverse Events</w:t>
      </w:r>
    </w:p>
    <w:p w14:paraId="22221969" w14:textId="77777777" w:rsidR="0075283B" w:rsidRDefault="00000000">
      <w:pPr>
        <w:spacing w:before="80" w:after="120" w:line="276" w:lineRule="auto"/>
        <w:jc w:val="both"/>
      </w:pPr>
      <w:r>
        <w:t>Table 2 presents the 35 most frequently reported adverse events. Consistent with prasugrel's mechanism of action as a potent antiplatelet agent, cardiovascular and hemorrhagic events predominated the safety profile. Myocardial infarction (n=68; 5.48%) and acute myocardial infarction (n=63; 5.08%) were the most commonly reported terms, likely reflecting the underlying disease population for which prasugrel is prescribed.</w:t>
      </w:r>
      <w:r>
        <w:rPr>
          <w:sz w:val="18"/>
          <w:szCs w:val="18"/>
          <w:vertAlign w:val="superscript"/>
        </w:rPr>
        <w:t>9</w:t>
      </w:r>
      <w:r>
        <w:t xml:space="preserve"> Bleeding events—encompassing gastrointestinal haemorrhage (4.44%), epistaxis (4.11%), haematoma (2.98%), melaena (2.34%), upper gastrointestinal haemorrhage (1.85%), and cerebral haemorrhage (2.66%)—collectively underscored the well-established hemorrhagic risk profile of prasugrel.</w:t>
      </w:r>
      <w:r>
        <w:rPr>
          <w:sz w:val="18"/>
          <w:szCs w:val="18"/>
          <w:vertAlign w:val="superscript"/>
        </w:rPr>
        <w:t>4,10</w:t>
      </w:r>
    </w:p>
    <w:p w14:paraId="11359F60" w14:textId="77777777" w:rsidR="0075283B" w:rsidRDefault="00000000">
      <w:pPr>
        <w:spacing w:before="80" w:after="120" w:line="276" w:lineRule="auto"/>
        <w:jc w:val="both"/>
      </w:pPr>
      <w:r>
        <w:t>Drug ineffective (n=57; 4.60%) and drug interaction (n=52; 4.19%) were among the top five reported events, signalling clinically important concerns regarding therapeutic failure and polypharmacy interactions in the ACS patient population. The labelled drug-drug interaction/medication error category (n=50; 4.03%) further highlights the importance of pharmacist and clinician vigilance in managing prasugrel in the context of complex medication regimens.</w:t>
      </w:r>
      <w:r>
        <w:rPr>
          <w:sz w:val="18"/>
          <w:szCs w:val="18"/>
          <w:vertAlign w:val="superscript"/>
        </w:rPr>
        <w:t>11</w:t>
      </w:r>
    </w:p>
    <w:p w14:paraId="512FE244" w14:textId="77777777" w:rsidR="0075283B" w:rsidRDefault="00000000">
      <w:pPr>
        <w:spacing w:before="80" w:after="120" w:line="276" w:lineRule="auto"/>
        <w:jc w:val="both"/>
      </w:pPr>
      <w:r>
        <w:t>Off-label use was reported in 45 cases (3.63%), reflecting utilization patterns outside approved indications. Vascular stent thrombosis—an outcome prasugrel is intended to prevent—was nonetheless reported in 45 cases (3.63%), suggesting inadequate antiplatelet response or discontinuation-related events in some patients.</w:t>
      </w:r>
      <w:r>
        <w:rPr>
          <w:sz w:val="18"/>
          <w:szCs w:val="18"/>
          <w:vertAlign w:val="superscript"/>
        </w:rPr>
        <w:t>12</w:t>
      </w:r>
      <w:r>
        <w:t xml:space="preserve"> Completed suicide (n=24; 1.94%) and gait disturbance (n=22; 1.77%) represent unexpected safety signals not prominently featured in initial prescribing information, warranting further investigation.</w:t>
      </w:r>
    </w:p>
    <w:p w14:paraId="350833FA" w14:textId="77777777" w:rsidR="0075283B" w:rsidRDefault="00000000">
      <w:pPr>
        <w:spacing w:before="200" w:after="80"/>
      </w:pPr>
      <w:r>
        <w:rPr>
          <w:b/>
          <w:bCs/>
          <w:i/>
          <w:iCs/>
          <w:color w:val="1F4E79"/>
          <w:sz w:val="20"/>
          <w:szCs w:val="20"/>
        </w:rPr>
        <w:t>Table 2. Most Frequently Reported Adverse Events for Prasugrel (FAERS, 2009–2026)</w:t>
      </w:r>
    </w:p>
    <w:tbl>
      <w:tblPr>
        <w:tblW w:w="9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5760"/>
        <w:gridCol w:w="1800"/>
        <w:gridCol w:w="1800"/>
      </w:tblGrid>
      <w:tr w:rsidR="0075283B" w14:paraId="66FB5F30" w14:textId="77777777">
        <w:trPr>
          <w:tblHeader/>
        </w:trPr>
        <w:tc>
          <w:tcPr>
            <w:tcW w:w="5760" w:type="dxa"/>
            <w:tcBorders>
              <w:top w:val="single" w:sz="1" w:space="0" w:color="CCCCCC"/>
              <w:left w:val="single" w:sz="1" w:space="0" w:color="CCCCCC"/>
              <w:bottom w:val="single" w:sz="1" w:space="0" w:color="CCCCCC"/>
              <w:right w:val="single" w:sz="1" w:space="0" w:color="CCCCCC"/>
            </w:tcBorders>
            <w:shd w:val="clear" w:color="auto" w:fill="1F4E79"/>
            <w:tcMar>
              <w:top w:w="80" w:type="dxa"/>
              <w:left w:w="120" w:type="dxa"/>
              <w:bottom w:w="80" w:type="dxa"/>
              <w:right w:w="120" w:type="dxa"/>
            </w:tcMar>
          </w:tcPr>
          <w:p w14:paraId="16BEDF88" w14:textId="77777777" w:rsidR="0075283B" w:rsidRDefault="00000000">
            <w:r>
              <w:rPr>
                <w:b/>
                <w:bCs/>
                <w:color w:val="FFFFFF"/>
                <w:sz w:val="20"/>
                <w:szCs w:val="20"/>
              </w:rPr>
              <w:t>Adverse Event (MedDRA Preferred Term)</w:t>
            </w:r>
          </w:p>
        </w:tc>
        <w:tc>
          <w:tcPr>
            <w:tcW w:w="1800" w:type="dxa"/>
            <w:tcBorders>
              <w:top w:val="single" w:sz="1" w:space="0" w:color="CCCCCC"/>
              <w:left w:val="single" w:sz="1" w:space="0" w:color="CCCCCC"/>
              <w:bottom w:val="single" w:sz="1" w:space="0" w:color="CCCCCC"/>
              <w:right w:val="single" w:sz="1" w:space="0" w:color="CCCCCC"/>
            </w:tcBorders>
            <w:shd w:val="clear" w:color="auto" w:fill="1F4E79"/>
            <w:tcMar>
              <w:top w:w="80" w:type="dxa"/>
              <w:left w:w="120" w:type="dxa"/>
              <w:bottom w:w="80" w:type="dxa"/>
              <w:right w:w="120" w:type="dxa"/>
            </w:tcMar>
          </w:tcPr>
          <w:p w14:paraId="3392127D" w14:textId="77777777" w:rsidR="0075283B" w:rsidRDefault="00000000">
            <w:pPr>
              <w:jc w:val="center"/>
            </w:pPr>
            <w:r>
              <w:rPr>
                <w:b/>
                <w:bCs/>
                <w:color w:val="FFFFFF"/>
                <w:sz w:val="20"/>
                <w:szCs w:val="20"/>
              </w:rPr>
              <w:t>Cases (n)</w:t>
            </w:r>
          </w:p>
        </w:tc>
        <w:tc>
          <w:tcPr>
            <w:tcW w:w="1800" w:type="dxa"/>
            <w:tcBorders>
              <w:top w:val="single" w:sz="1" w:space="0" w:color="CCCCCC"/>
              <w:left w:val="single" w:sz="1" w:space="0" w:color="CCCCCC"/>
              <w:bottom w:val="single" w:sz="1" w:space="0" w:color="CCCCCC"/>
              <w:right w:val="single" w:sz="1" w:space="0" w:color="CCCCCC"/>
            </w:tcBorders>
            <w:shd w:val="clear" w:color="auto" w:fill="1F4E79"/>
            <w:tcMar>
              <w:top w:w="80" w:type="dxa"/>
              <w:left w:w="120" w:type="dxa"/>
              <w:bottom w:w="80" w:type="dxa"/>
              <w:right w:w="120" w:type="dxa"/>
            </w:tcMar>
          </w:tcPr>
          <w:p w14:paraId="05DC1417" w14:textId="77777777" w:rsidR="0075283B" w:rsidRDefault="00000000">
            <w:pPr>
              <w:jc w:val="center"/>
            </w:pPr>
            <w:r>
              <w:rPr>
                <w:b/>
                <w:bCs/>
                <w:color w:val="FFFFFF"/>
                <w:sz w:val="20"/>
                <w:szCs w:val="20"/>
              </w:rPr>
              <w:t>Percentage</w:t>
            </w:r>
          </w:p>
        </w:tc>
      </w:tr>
      <w:tr w:rsidR="0075283B" w14:paraId="4B12F232" w14:textId="77777777">
        <w:tc>
          <w:tcPr>
            <w:tcW w:w="5760" w:type="dxa"/>
            <w:tcBorders>
              <w:top w:val="single" w:sz="1" w:space="0" w:color="CCCCCC"/>
              <w:left w:val="single" w:sz="1" w:space="0" w:color="CCCCCC"/>
              <w:bottom w:val="single" w:sz="1" w:space="0" w:color="CCCCCC"/>
              <w:right w:val="single" w:sz="1" w:space="0" w:color="CCCCCC"/>
            </w:tcBorders>
            <w:shd w:val="clear" w:color="auto" w:fill="F2F7FB"/>
            <w:tcMar>
              <w:top w:w="80" w:type="dxa"/>
              <w:left w:w="120" w:type="dxa"/>
              <w:bottom w:w="80" w:type="dxa"/>
              <w:right w:w="120" w:type="dxa"/>
            </w:tcMar>
          </w:tcPr>
          <w:p w14:paraId="547FB46A" w14:textId="77777777" w:rsidR="0075283B" w:rsidRDefault="00000000">
            <w:r>
              <w:rPr>
                <w:sz w:val="20"/>
                <w:szCs w:val="20"/>
              </w:rPr>
              <w:t>Myocardial Infarction</w:t>
            </w:r>
          </w:p>
        </w:tc>
        <w:tc>
          <w:tcPr>
            <w:tcW w:w="18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423929A3" w14:textId="77777777" w:rsidR="0075283B" w:rsidRDefault="00000000">
            <w:pPr>
              <w:jc w:val="center"/>
            </w:pPr>
            <w:r>
              <w:rPr>
                <w:sz w:val="20"/>
                <w:szCs w:val="20"/>
              </w:rPr>
              <w:t>68</w:t>
            </w:r>
          </w:p>
        </w:tc>
        <w:tc>
          <w:tcPr>
            <w:tcW w:w="18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25FF37F8" w14:textId="77777777" w:rsidR="0075283B" w:rsidRDefault="00000000">
            <w:pPr>
              <w:jc w:val="center"/>
            </w:pPr>
            <w:r>
              <w:rPr>
                <w:sz w:val="20"/>
                <w:szCs w:val="20"/>
              </w:rPr>
              <w:t>5.48%</w:t>
            </w:r>
          </w:p>
        </w:tc>
      </w:tr>
      <w:tr w:rsidR="0075283B" w14:paraId="65F9943D" w14:textId="77777777">
        <w:tc>
          <w:tcPr>
            <w:tcW w:w="5760" w:type="dxa"/>
            <w:tcBorders>
              <w:top w:val="single" w:sz="1" w:space="0" w:color="CCCCCC"/>
              <w:left w:val="single" w:sz="1" w:space="0" w:color="CCCCCC"/>
              <w:bottom w:val="single" w:sz="1" w:space="0" w:color="CCCCCC"/>
              <w:right w:val="single" w:sz="1" w:space="0" w:color="CCCCCC"/>
            </w:tcBorders>
            <w:shd w:val="clear" w:color="auto" w:fill="F2F7FB"/>
            <w:tcMar>
              <w:top w:w="80" w:type="dxa"/>
              <w:left w:w="120" w:type="dxa"/>
              <w:bottom w:w="80" w:type="dxa"/>
              <w:right w:w="120" w:type="dxa"/>
            </w:tcMar>
          </w:tcPr>
          <w:p w14:paraId="30E23E7C" w14:textId="77777777" w:rsidR="0075283B" w:rsidRDefault="00000000">
            <w:r>
              <w:rPr>
                <w:sz w:val="20"/>
                <w:szCs w:val="20"/>
              </w:rPr>
              <w:t>Acute Myocardial Infarction</w:t>
            </w:r>
          </w:p>
        </w:tc>
        <w:tc>
          <w:tcPr>
            <w:tcW w:w="18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7283D81C" w14:textId="77777777" w:rsidR="0075283B" w:rsidRDefault="00000000">
            <w:pPr>
              <w:jc w:val="center"/>
            </w:pPr>
            <w:r>
              <w:rPr>
                <w:sz w:val="20"/>
                <w:szCs w:val="20"/>
              </w:rPr>
              <w:t>63</w:t>
            </w:r>
          </w:p>
        </w:tc>
        <w:tc>
          <w:tcPr>
            <w:tcW w:w="18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4706ABCC" w14:textId="77777777" w:rsidR="0075283B" w:rsidRDefault="00000000">
            <w:pPr>
              <w:jc w:val="center"/>
            </w:pPr>
            <w:r>
              <w:rPr>
                <w:sz w:val="20"/>
                <w:szCs w:val="20"/>
              </w:rPr>
              <w:t>5.08%</w:t>
            </w:r>
          </w:p>
        </w:tc>
      </w:tr>
      <w:tr w:rsidR="0075283B" w14:paraId="1DBED5D8" w14:textId="77777777">
        <w:tc>
          <w:tcPr>
            <w:tcW w:w="5760" w:type="dxa"/>
            <w:tcBorders>
              <w:top w:val="single" w:sz="1" w:space="0" w:color="CCCCCC"/>
              <w:left w:val="single" w:sz="1" w:space="0" w:color="CCCCCC"/>
              <w:bottom w:val="single" w:sz="1" w:space="0" w:color="CCCCCC"/>
              <w:right w:val="single" w:sz="1" w:space="0" w:color="CCCCCC"/>
            </w:tcBorders>
            <w:shd w:val="clear" w:color="auto" w:fill="F2F7FB"/>
            <w:tcMar>
              <w:top w:w="80" w:type="dxa"/>
              <w:left w:w="120" w:type="dxa"/>
              <w:bottom w:w="80" w:type="dxa"/>
              <w:right w:w="120" w:type="dxa"/>
            </w:tcMar>
          </w:tcPr>
          <w:p w14:paraId="32B8CDEA" w14:textId="77777777" w:rsidR="0075283B" w:rsidRDefault="00000000">
            <w:r>
              <w:rPr>
                <w:sz w:val="20"/>
                <w:szCs w:val="20"/>
              </w:rPr>
              <w:t>Chest Pain</w:t>
            </w:r>
          </w:p>
        </w:tc>
        <w:tc>
          <w:tcPr>
            <w:tcW w:w="18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76C0571B" w14:textId="77777777" w:rsidR="0075283B" w:rsidRDefault="00000000">
            <w:pPr>
              <w:jc w:val="center"/>
            </w:pPr>
            <w:r>
              <w:rPr>
                <w:sz w:val="20"/>
                <w:szCs w:val="20"/>
              </w:rPr>
              <w:t>59</w:t>
            </w:r>
          </w:p>
        </w:tc>
        <w:tc>
          <w:tcPr>
            <w:tcW w:w="18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4BDAA37D" w14:textId="77777777" w:rsidR="0075283B" w:rsidRDefault="00000000">
            <w:pPr>
              <w:jc w:val="center"/>
            </w:pPr>
            <w:r>
              <w:rPr>
                <w:sz w:val="20"/>
                <w:szCs w:val="20"/>
              </w:rPr>
              <w:t>4.76%</w:t>
            </w:r>
          </w:p>
        </w:tc>
      </w:tr>
      <w:tr w:rsidR="0075283B" w14:paraId="25B27E2E" w14:textId="77777777">
        <w:tc>
          <w:tcPr>
            <w:tcW w:w="5760" w:type="dxa"/>
            <w:tcBorders>
              <w:top w:val="single" w:sz="1" w:space="0" w:color="CCCCCC"/>
              <w:left w:val="single" w:sz="1" w:space="0" w:color="CCCCCC"/>
              <w:bottom w:val="single" w:sz="1" w:space="0" w:color="CCCCCC"/>
              <w:right w:val="single" w:sz="1" w:space="0" w:color="CCCCCC"/>
            </w:tcBorders>
            <w:shd w:val="clear" w:color="auto" w:fill="F2F7FB"/>
            <w:tcMar>
              <w:top w:w="80" w:type="dxa"/>
              <w:left w:w="120" w:type="dxa"/>
              <w:bottom w:w="80" w:type="dxa"/>
              <w:right w:w="120" w:type="dxa"/>
            </w:tcMar>
          </w:tcPr>
          <w:p w14:paraId="3D1E745E" w14:textId="77777777" w:rsidR="0075283B" w:rsidRDefault="00000000">
            <w:r>
              <w:rPr>
                <w:sz w:val="20"/>
                <w:szCs w:val="20"/>
              </w:rPr>
              <w:lastRenderedPageBreak/>
              <w:t>Drug Ineffective</w:t>
            </w:r>
          </w:p>
        </w:tc>
        <w:tc>
          <w:tcPr>
            <w:tcW w:w="18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54631D21" w14:textId="77777777" w:rsidR="0075283B" w:rsidRDefault="00000000">
            <w:pPr>
              <w:jc w:val="center"/>
            </w:pPr>
            <w:r>
              <w:rPr>
                <w:sz w:val="20"/>
                <w:szCs w:val="20"/>
              </w:rPr>
              <w:t>57</w:t>
            </w:r>
          </w:p>
        </w:tc>
        <w:tc>
          <w:tcPr>
            <w:tcW w:w="18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796152CD" w14:textId="77777777" w:rsidR="0075283B" w:rsidRDefault="00000000">
            <w:pPr>
              <w:jc w:val="center"/>
            </w:pPr>
            <w:r>
              <w:rPr>
                <w:sz w:val="20"/>
                <w:szCs w:val="20"/>
              </w:rPr>
              <w:t>4.60%</w:t>
            </w:r>
          </w:p>
        </w:tc>
      </w:tr>
      <w:tr w:rsidR="0075283B" w14:paraId="135E6F01" w14:textId="77777777">
        <w:tc>
          <w:tcPr>
            <w:tcW w:w="5760" w:type="dxa"/>
            <w:tcBorders>
              <w:top w:val="single" w:sz="1" w:space="0" w:color="CCCCCC"/>
              <w:left w:val="single" w:sz="1" w:space="0" w:color="CCCCCC"/>
              <w:bottom w:val="single" w:sz="1" w:space="0" w:color="CCCCCC"/>
              <w:right w:val="single" w:sz="1" w:space="0" w:color="CCCCCC"/>
            </w:tcBorders>
            <w:shd w:val="clear" w:color="auto" w:fill="F2F7FB"/>
            <w:tcMar>
              <w:top w:w="80" w:type="dxa"/>
              <w:left w:w="120" w:type="dxa"/>
              <w:bottom w:w="80" w:type="dxa"/>
              <w:right w:w="120" w:type="dxa"/>
            </w:tcMar>
          </w:tcPr>
          <w:p w14:paraId="4B9F805B" w14:textId="77777777" w:rsidR="0075283B" w:rsidRDefault="00000000">
            <w:r>
              <w:rPr>
                <w:sz w:val="20"/>
                <w:szCs w:val="20"/>
              </w:rPr>
              <w:t>Gastrointestinal Haemorrhage</w:t>
            </w:r>
          </w:p>
        </w:tc>
        <w:tc>
          <w:tcPr>
            <w:tcW w:w="18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410BEE23" w14:textId="77777777" w:rsidR="0075283B" w:rsidRDefault="00000000">
            <w:pPr>
              <w:jc w:val="center"/>
            </w:pPr>
            <w:r>
              <w:rPr>
                <w:sz w:val="20"/>
                <w:szCs w:val="20"/>
              </w:rPr>
              <w:t>55</w:t>
            </w:r>
          </w:p>
        </w:tc>
        <w:tc>
          <w:tcPr>
            <w:tcW w:w="18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01BB8EB5" w14:textId="77777777" w:rsidR="0075283B" w:rsidRDefault="00000000">
            <w:pPr>
              <w:jc w:val="center"/>
            </w:pPr>
            <w:r>
              <w:rPr>
                <w:sz w:val="20"/>
                <w:szCs w:val="20"/>
              </w:rPr>
              <w:t>4.44%</w:t>
            </w:r>
          </w:p>
        </w:tc>
      </w:tr>
      <w:tr w:rsidR="0075283B" w14:paraId="7670B8B6" w14:textId="77777777">
        <w:tc>
          <w:tcPr>
            <w:tcW w:w="5760" w:type="dxa"/>
            <w:tcBorders>
              <w:top w:val="single" w:sz="1" w:space="0" w:color="CCCCCC"/>
              <w:left w:val="single" w:sz="1" w:space="0" w:color="CCCCCC"/>
              <w:bottom w:val="single" w:sz="1" w:space="0" w:color="CCCCCC"/>
              <w:right w:val="single" w:sz="1" w:space="0" w:color="CCCCCC"/>
            </w:tcBorders>
            <w:shd w:val="clear" w:color="auto" w:fill="F2F7FB"/>
            <w:tcMar>
              <w:top w:w="80" w:type="dxa"/>
              <w:left w:w="120" w:type="dxa"/>
              <w:bottom w:w="80" w:type="dxa"/>
              <w:right w:w="120" w:type="dxa"/>
            </w:tcMar>
          </w:tcPr>
          <w:p w14:paraId="28D52427" w14:textId="77777777" w:rsidR="0075283B" w:rsidRDefault="00000000">
            <w:r>
              <w:rPr>
                <w:sz w:val="20"/>
                <w:szCs w:val="20"/>
              </w:rPr>
              <w:t>Drug Interaction</w:t>
            </w:r>
          </w:p>
        </w:tc>
        <w:tc>
          <w:tcPr>
            <w:tcW w:w="18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13D8ABC9" w14:textId="77777777" w:rsidR="0075283B" w:rsidRDefault="00000000">
            <w:pPr>
              <w:jc w:val="center"/>
            </w:pPr>
            <w:r>
              <w:rPr>
                <w:sz w:val="20"/>
                <w:szCs w:val="20"/>
              </w:rPr>
              <w:t>52</w:t>
            </w:r>
          </w:p>
        </w:tc>
        <w:tc>
          <w:tcPr>
            <w:tcW w:w="18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7A42F9A9" w14:textId="77777777" w:rsidR="0075283B" w:rsidRDefault="00000000">
            <w:pPr>
              <w:jc w:val="center"/>
            </w:pPr>
            <w:r>
              <w:rPr>
                <w:sz w:val="20"/>
                <w:szCs w:val="20"/>
              </w:rPr>
              <w:t>4.19%</w:t>
            </w:r>
          </w:p>
        </w:tc>
      </w:tr>
      <w:tr w:rsidR="0075283B" w14:paraId="5F1E029F" w14:textId="77777777">
        <w:tc>
          <w:tcPr>
            <w:tcW w:w="5760" w:type="dxa"/>
            <w:tcBorders>
              <w:top w:val="single" w:sz="1" w:space="0" w:color="CCCCCC"/>
              <w:left w:val="single" w:sz="1" w:space="0" w:color="CCCCCC"/>
              <w:bottom w:val="single" w:sz="1" w:space="0" w:color="CCCCCC"/>
              <w:right w:val="single" w:sz="1" w:space="0" w:color="CCCCCC"/>
            </w:tcBorders>
            <w:shd w:val="clear" w:color="auto" w:fill="F2F7FB"/>
            <w:tcMar>
              <w:top w:w="80" w:type="dxa"/>
              <w:left w:w="120" w:type="dxa"/>
              <w:bottom w:w="80" w:type="dxa"/>
              <w:right w:w="120" w:type="dxa"/>
            </w:tcMar>
          </w:tcPr>
          <w:p w14:paraId="5D6B02BF" w14:textId="77777777" w:rsidR="0075283B" w:rsidRDefault="00000000">
            <w:r>
              <w:rPr>
                <w:sz w:val="20"/>
                <w:szCs w:val="20"/>
              </w:rPr>
              <w:t>Epistaxis</w:t>
            </w:r>
          </w:p>
        </w:tc>
        <w:tc>
          <w:tcPr>
            <w:tcW w:w="18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6D553120" w14:textId="77777777" w:rsidR="0075283B" w:rsidRDefault="00000000">
            <w:pPr>
              <w:jc w:val="center"/>
            </w:pPr>
            <w:r>
              <w:rPr>
                <w:sz w:val="20"/>
                <w:szCs w:val="20"/>
              </w:rPr>
              <w:t>51</w:t>
            </w:r>
          </w:p>
        </w:tc>
        <w:tc>
          <w:tcPr>
            <w:tcW w:w="18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784A8D5C" w14:textId="77777777" w:rsidR="0075283B" w:rsidRDefault="00000000">
            <w:pPr>
              <w:jc w:val="center"/>
            </w:pPr>
            <w:r>
              <w:rPr>
                <w:sz w:val="20"/>
                <w:szCs w:val="20"/>
              </w:rPr>
              <w:t>4.11%</w:t>
            </w:r>
          </w:p>
        </w:tc>
      </w:tr>
      <w:tr w:rsidR="0075283B" w14:paraId="022F2388" w14:textId="77777777">
        <w:tc>
          <w:tcPr>
            <w:tcW w:w="5760" w:type="dxa"/>
            <w:tcBorders>
              <w:top w:val="single" w:sz="1" w:space="0" w:color="CCCCCC"/>
              <w:left w:val="single" w:sz="1" w:space="0" w:color="CCCCCC"/>
              <w:bottom w:val="single" w:sz="1" w:space="0" w:color="CCCCCC"/>
              <w:right w:val="single" w:sz="1" w:space="0" w:color="CCCCCC"/>
            </w:tcBorders>
            <w:shd w:val="clear" w:color="auto" w:fill="F2F7FB"/>
            <w:tcMar>
              <w:top w:w="80" w:type="dxa"/>
              <w:left w:w="120" w:type="dxa"/>
              <w:bottom w:w="80" w:type="dxa"/>
              <w:right w:w="120" w:type="dxa"/>
            </w:tcMar>
          </w:tcPr>
          <w:p w14:paraId="1D5785E0" w14:textId="77777777" w:rsidR="0075283B" w:rsidRDefault="00000000">
            <w:r>
              <w:rPr>
                <w:sz w:val="20"/>
                <w:szCs w:val="20"/>
              </w:rPr>
              <w:t>Labelled Drug-Drug Interaction Medication Error</w:t>
            </w:r>
          </w:p>
        </w:tc>
        <w:tc>
          <w:tcPr>
            <w:tcW w:w="18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41B79C5F" w14:textId="77777777" w:rsidR="0075283B" w:rsidRDefault="00000000">
            <w:pPr>
              <w:jc w:val="center"/>
            </w:pPr>
            <w:r>
              <w:rPr>
                <w:sz w:val="20"/>
                <w:szCs w:val="20"/>
              </w:rPr>
              <w:t>50</w:t>
            </w:r>
          </w:p>
        </w:tc>
        <w:tc>
          <w:tcPr>
            <w:tcW w:w="18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3BF6B29E" w14:textId="77777777" w:rsidR="0075283B" w:rsidRDefault="00000000">
            <w:pPr>
              <w:jc w:val="center"/>
            </w:pPr>
            <w:r>
              <w:rPr>
                <w:sz w:val="20"/>
                <w:szCs w:val="20"/>
              </w:rPr>
              <w:t>4.03%</w:t>
            </w:r>
          </w:p>
        </w:tc>
      </w:tr>
      <w:tr w:rsidR="0075283B" w14:paraId="2A439045" w14:textId="77777777">
        <w:tc>
          <w:tcPr>
            <w:tcW w:w="5760" w:type="dxa"/>
            <w:tcBorders>
              <w:top w:val="single" w:sz="1" w:space="0" w:color="CCCCCC"/>
              <w:left w:val="single" w:sz="1" w:space="0" w:color="CCCCCC"/>
              <w:bottom w:val="single" w:sz="1" w:space="0" w:color="CCCCCC"/>
              <w:right w:val="single" w:sz="1" w:space="0" w:color="CCCCCC"/>
            </w:tcBorders>
            <w:shd w:val="clear" w:color="auto" w:fill="F2F7FB"/>
            <w:tcMar>
              <w:top w:w="80" w:type="dxa"/>
              <w:left w:w="120" w:type="dxa"/>
              <w:bottom w:w="80" w:type="dxa"/>
              <w:right w:w="120" w:type="dxa"/>
            </w:tcMar>
          </w:tcPr>
          <w:p w14:paraId="6572BA7F" w14:textId="77777777" w:rsidR="0075283B" w:rsidRDefault="00000000">
            <w:r>
              <w:rPr>
                <w:sz w:val="20"/>
                <w:szCs w:val="20"/>
              </w:rPr>
              <w:t>Dyspnoea</w:t>
            </w:r>
          </w:p>
        </w:tc>
        <w:tc>
          <w:tcPr>
            <w:tcW w:w="18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7D698CC7" w14:textId="77777777" w:rsidR="0075283B" w:rsidRDefault="00000000">
            <w:pPr>
              <w:jc w:val="center"/>
            </w:pPr>
            <w:r>
              <w:rPr>
                <w:sz w:val="20"/>
                <w:szCs w:val="20"/>
              </w:rPr>
              <w:t>49</w:t>
            </w:r>
          </w:p>
        </w:tc>
        <w:tc>
          <w:tcPr>
            <w:tcW w:w="18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554A9BB0" w14:textId="77777777" w:rsidR="0075283B" w:rsidRDefault="00000000">
            <w:pPr>
              <w:jc w:val="center"/>
            </w:pPr>
            <w:r>
              <w:rPr>
                <w:sz w:val="20"/>
                <w:szCs w:val="20"/>
              </w:rPr>
              <w:t>3.95%</w:t>
            </w:r>
          </w:p>
        </w:tc>
      </w:tr>
      <w:tr w:rsidR="0075283B" w14:paraId="08B60AF0" w14:textId="77777777">
        <w:tc>
          <w:tcPr>
            <w:tcW w:w="5760" w:type="dxa"/>
            <w:tcBorders>
              <w:top w:val="single" w:sz="1" w:space="0" w:color="CCCCCC"/>
              <w:left w:val="single" w:sz="1" w:space="0" w:color="CCCCCC"/>
              <w:bottom w:val="single" w:sz="1" w:space="0" w:color="CCCCCC"/>
              <w:right w:val="single" w:sz="1" w:space="0" w:color="CCCCCC"/>
            </w:tcBorders>
            <w:shd w:val="clear" w:color="auto" w:fill="F2F7FB"/>
            <w:tcMar>
              <w:top w:w="80" w:type="dxa"/>
              <w:left w:w="120" w:type="dxa"/>
              <w:bottom w:w="80" w:type="dxa"/>
              <w:right w:w="120" w:type="dxa"/>
            </w:tcMar>
          </w:tcPr>
          <w:p w14:paraId="7D027F07" w14:textId="77777777" w:rsidR="0075283B" w:rsidRDefault="00000000">
            <w:r>
              <w:rPr>
                <w:sz w:val="20"/>
                <w:szCs w:val="20"/>
              </w:rPr>
              <w:t>Haemorrhage</w:t>
            </w:r>
          </w:p>
        </w:tc>
        <w:tc>
          <w:tcPr>
            <w:tcW w:w="18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63D0392F" w14:textId="77777777" w:rsidR="0075283B" w:rsidRDefault="00000000">
            <w:pPr>
              <w:jc w:val="center"/>
            </w:pPr>
            <w:r>
              <w:rPr>
                <w:sz w:val="20"/>
                <w:szCs w:val="20"/>
              </w:rPr>
              <w:t>46</w:t>
            </w:r>
          </w:p>
        </w:tc>
        <w:tc>
          <w:tcPr>
            <w:tcW w:w="18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462EB3D7" w14:textId="77777777" w:rsidR="0075283B" w:rsidRDefault="00000000">
            <w:pPr>
              <w:jc w:val="center"/>
            </w:pPr>
            <w:r>
              <w:rPr>
                <w:sz w:val="20"/>
                <w:szCs w:val="20"/>
              </w:rPr>
              <w:t>3.71%</w:t>
            </w:r>
          </w:p>
        </w:tc>
      </w:tr>
      <w:tr w:rsidR="0075283B" w14:paraId="70CAB843" w14:textId="77777777">
        <w:tc>
          <w:tcPr>
            <w:tcW w:w="5760" w:type="dxa"/>
            <w:tcBorders>
              <w:top w:val="single" w:sz="1" w:space="0" w:color="CCCCCC"/>
              <w:left w:val="single" w:sz="1" w:space="0" w:color="CCCCCC"/>
              <w:bottom w:val="single" w:sz="1" w:space="0" w:color="CCCCCC"/>
              <w:right w:val="single" w:sz="1" w:space="0" w:color="CCCCCC"/>
            </w:tcBorders>
            <w:shd w:val="clear" w:color="auto" w:fill="F2F7FB"/>
            <w:tcMar>
              <w:top w:w="80" w:type="dxa"/>
              <w:left w:w="120" w:type="dxa"/>
              <w:bottom w:w="80" w:type="dxa"/>
              <w:right w:w="120" w:type="dxa"/>
            </w:tcMar>
          </w:tcPr>
          <w:p w14:paraId="4ACE45C5" w14:textId="77777777" w:rsidR="0075283B" w:rsidRDefault="00000000">
            <w:r>
              <w:rPr>
                <w:sz w:val="20"/>
                <w:szCs w:val="20"/>
              </w:rPr>
              <w:t>Off Label Use</w:t>
            </w:r>
          </w:p>
        </w:tc>
        <w:tc>
          <w:tcPr>
            <w:tcW w:w="18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66577353" w14:textId="77777777" w:rsidR="0075283B" w:rsidRDefault="00000000">
            <w:pPr>
              <w:jc w:val="center"/>
            </w:pPr>
            <w:r>
              <w:rPr>
                <w:sz w:val="20"/>
                <w:szCs w:val="20"/>
              </w:rPr>
              <w:t>45</w:t>
            </w:r>
          </w:p>
        </w:tc>
        <w:tc>
          <w:tcPr>
            <w:tcW w:w="18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43F03269" w14:textId="77777777" w:rsidR="0075283B" w:rsidRDefault="00000000">
            <w:pPr>
              <w:jc w:val="center"/>
            </w:pPr>
            <w:r>
              <w:rPr>
                <w:sz w:val="20"/>
                <w:szCs w:val="20"/>
              </w:rPr>
              <w:t>3.63%</w:t>
            </w:r>
          </w:p>
        </w:tc>
      </w:tr>
      <w:tr w:rsidR="0075283B" w14:paraId="2A293251" w14:textId="77777777">
        <w:tc>
          <w:tcPr>
            <w:tcW w:w="5760" w:type="dxa"/>
            <w:tcBorders>
              <w:top w:val="single" w:sz="1" w:space="0" w:color="CCCCCC"/>
              <w:left w:val="single" w:sz="1" w:space="0" w:color="CCCCCC"/>
              <w:bottom w:val="single" w:sz="1" w:space="0" w:color="CCCCCC"/>
              <w:right w:val="single" w:sz="1" w:space="0" w:color="CCCCCC"/>
            </w:tcBorders>
            <w:shd w:val="clear" w:color="auto" w:fill="F2F7FB"/>
            <w:tcMar>
              <w:top w:w="80" w:type="dxa"/>
              <w:left w:w="120" w:type="dxa"/>
              <w:bottom w:w="80" w:type="dxa"/>
              <w:right w:w="120" w:type="dxa"/>
            </w:tcMar>
          </w:tcPr>
          <w:p w14:paraId="2C0BE58A" w14:textId="77777777" w:rsidR="0075283B" w:rsidRDefault="00000000">
            <w:r>
              <w:rPr>
                <w:sz w:val="20"/>
                <w:szCs w:val="20"/>
              </w:rPr>
              <w:t>Vascular Stent Thrombosis</w:t>
            </w:r>
          </w:p>
        </w:tc>
        <w:tc>
          <w:tcPr>
            <w:tcW w:w="18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5F71BB11" w14:textId="77777777" w:rsidR="0075283B" w:rsidRDefault="00000000">
            <w:pPr>
              <w:jc w:val="center"/>
            </w:pPr>
            <w:r>
              <w:rPr>
                <w:sz w:val="20"/>
                <w:szCs w:val="20"/>
              </w:rPr>
              <w:t>45</w:t>
            </w:r>
          </w:p>
        </w:tc>
        <w:tc>
          <w:tcPr>
            <w:tcW w:w="18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29227682" w14:textId="77777777" w:rsidR="0075283B" w:rsidRDefault="00000000">
            <w:pPr>
              <w:jc w:val="center"/>
            </w:pPr>
            <w:r>
              <w:rPr>
                <w:sz w:val="20"/>
                <w:szCs w:val="20"/>
              </w:rPr>
              <w:t>3.63%</w:t>
            </w:r>
          </w:p>
        </w:tc>
      </w:tr>
      <w:tr w:rsidR="0075283B" w14:paraId="5FDA6D09" w14:textId="77777777">
        <w:tc>
          <w:tcPr>
            <w:tcW w:w="5760" w:type="dxa"/>
            <w:tcBorders>
              <w:top w:val="single" w:sz="1" w:space="0" w:color="CCCCCC"/>
              <w:left w:val="single" w:sz="1" w:space="0" w:color="CCCCCC"/>
              <w:bottom w:val="single" w:sz="1" w:space="0" w:color="CCCCCC"/>
              <w:right w:val="single" w:sz="1" w:space="0" w:color="CCCCCC"/>
            </w:tcBorders>
            <w:shd w:val="clear" w:color="auto" w:fill="F2F7FB"/>
            <w:tcMar>
              <w:top w:w="80" w:type="dxa"/>
              <w:left w:w="120" w:type="dxa"/>
              <w:bottom w:w="80" w:type="dxa"/>
              <w:right w:w="120" w:type="dxa"/>
            </w:tcMar>
          </w:tcPr>
          <w:p w14:paraId="097C2625" w14:textId="77777777" w:rsidR="0075283B" w:rsidRDefault="00000000">
            <w:r>
              <w:rPr>
                <w:sz w:val="20"/>
                <w:szCs w:val="20"/>
              </w:rPr>
              <w:t>Nausea</w:t>
            </w:r>
          </w:p>
        </w:tc>
        <w:tc>
          <w:tcPr>
            <w:tcW w:w="18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7AD00F50" w14:textId="77777777" w:rsidR="0075283B" w:rsidRDefault="00000000">
            <w:pPr>
              <w:jc w:val="center"/>
            </w:pPr>
            <w:r>
              <w:rPr>
                <w:sz w:val="20"/>
                <w:szCs w:val="20"/>
              </w:rPr>
              <w:t>43</w:t>
            </w:r>
          </w:p>
        </w:tc>
        <w:tc>
          <w:tcPr>
            <w:tcW w:w="18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1AE860E8" w14:textId="77777777" w:rsidR="0075283B" w:rsidRDefault="00000000">
            <w:pPr>
              <w:jc w:val="center"/>
            </w:pPr>
            <w:r>
              <w:rPr>
                <w:sz w:val="20"/>
                <w:szCs w:val="20"/>
              </w:rPr>
              <w:t>3.47%</w:t>
            </w:r>
          </w:p>
        </w:tc>
      </w:tr>
      <w:tr w:rsidR="0075283B" w14:paraId="1E93EEE1" w14:textId="77777777">
        <w:tc>
          <w:tcPr>
            <w:tcW w:w="5760" w:type="dxa"/>
            <w:tcBorders>
              <w:top w:val="single" w:sz="1" w:space="0" w:color="CCCCCC"/>
              <w:left w:val="single" w:sz="1" w:space="0" w:color="CCCCCC"/>
              <w:bottom w:val="single" w:sz="1" w:space="0" w:color="CCCCCC"/>
              <w:right w:val="single" w:sz="1" w:space="0" w:color="CCCCCC"/>
            </w:tcBorders>
            <w:shd w:val="clear" w:color="auto" w:fill="F2F7FB"/>
            <w:tcMar>
              <w:top w:w="80" w:type="dxa"/>
              <w:left w:w="120" w:type="dxa"/>
              <w:bottom w:w="80" w:type="dxa"/>
              <w:right w:w="120" w:type="dxa"/>
            </w:tcMar>
          </w:tcPr>
          <w:p w14:paraId="5995DA6B" w14:textId="77777777" w:rsidR="0075283B" w:rsidRDefault="00000000">
            <w:r>
              <w:rPr>
                <w:sz w:val="20"/>
                <w:szCs w:val="20"/>
              </w:rPr>
              <w:t>Headache</w:t>
            </w:r>
          </w:p>
        </w:tc>
        <w:tc>
          <w:tcPr>
            <w:tcW w:w="18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64E92724" w14:textId="77777777" w:rsidR="0075283B" w:rsidRDefault="00000000">
            <w:pPr>
              <w:jc w:val="center"/>
            </w:pPr>
            <w:r>
              <w:rPr>
                <w:sz w:val="20"/>
                <w:szCs w:val="20"/>
              </w:rPr>
              <w:t>42</w:t>
            </w:r>
          </w:p>
        </w:tc>
        <w:tc>
          <w:tcPr>
            <w:tcW w:w="18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5F8F7BF9" w14:textId="77777777" w:rsidR="0075283B" w:rsidRDefault="00000000">
            <w:pPr>
              <w:jc w:val="center"/>
            </w:pPr>
            <w:r>
              <w:rPr>
                <w:sz w:val="20"/>
                <w:szCs w:val="20"/>
              </w:rPr>
              <w:t>3.39%</w:t>
            </w:r>
          </w:p>
        </w:tc>
      </w:tr>
      <w:tr w:rsidR="0075283B" w14:paraId="77E89403" w14:textId="77777777">
        <w:tc>
          <w:tcPr>
            <w:tcW w:w="5760" w:type="dxa"/>
            <w:tcBorders>
              <w:top w:val="single" w:sz="1" w:space="0" w:color="CCCCCC"/>
              <w:left w:val="single" w:sz="1" w:space="0" w:color="CCCCCC"/>
              <w:bottom w:val="single" w:sz="1" w:space="0" w:color="CCCCCC"/>
              <w:right w:val="single" w:sz="1" w:space="0" w:color="CCCCCC"/>
            </w:tcBorders>
            <w:shd w:val="clear" w:color="auto" w:fill="F2F7FB"/>
            <w:tcMar>
              <w:top w:w="80" w:type="dxa"/>
              <w:left w:w="120" w:type="dxa"/>
              <w:bottom w:w="80" w:type="dxa"/>
              <w:right w:w="120" w:type="dxa"/>
            </w:tcMar>
          </w:tcPr>
          <w:p w14:paraId="2C3FE509" w14:textId="77777777" w:rsidR="0075283B" w:rsidRDefault="00000000">
            <w:r>
              <w:rPr>
                <w:sz w:val="20"/>
                <w:szCs w:val="20"/>
              </w:rPr>
              <w:t>Dizziness</w:t>
            </w:r>
          </w:p>
        </w:tc>
        <w:tc>
          <w:tcPr>
            <w:tcW w:w="18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2A42660F" w14:textId="77777777" w:rsidR="0075283B" w:rsidRDefault="00000000">
            <w:pPr>
              <w:jc w:val="center"/>
            </w:pPr>
            <w:r>
              <w:rPr>
                <w:sz w:val="20"/>
                <w:szCs w:val="20"/>
              </w:rPr>
              <w:t>38</w:t>
            </w:r>
          </w:p>
        </w:tc>
        <w:tc>
          <w:tcPr>
            <w:tcW w:w="18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5052147B" w14:textId="77777777" w:rsidR="0075283B" w:rsidRDefault="00000000">
            <w:pPr>
              <w:jc w:val="center"/>
            </w:pPr>
            <w:r>
              <w:rPr>
                <w:sz w:val="20"/>
                <w:szCs w:val="20"/>
              </w:rPr>
              <w:t>3.06%</w:t>
            </w:r>
          </w:p>
        </w:tc>
      </w:tr>
      <w:tr w:rsidR="0075283B" w14:paraId="6CD9E6C6" w14:textId="77777777">
        <w:tc>
          <w:tcPr>
            <w:tcW w:w="5760" w:type="dxa"/>
            <w:tcBorders>
              <w:top w:val="single" w:sz="1" w:space="0" w:color="CCCCCC"/>
              <w:left w:val="single" w:sz="1" w:space="0" w:color="CCCCCC"/>
              <w:bottom w:val="single" w:sz="1" w:space="0" w:color="CCCCCC"/>
              <w:right w:val="single" w:sz="1" w:space="0" w:color="CCCCCC"/>
            </w:tcBorders>
            <w:shd w:val="clear" w:color="auto" w:fill="F2F7FB"/>
            <w:tcMar>
              <w:top w:w="80" w:type="dxa"/>
              <w:left w:w="120" w:type="dxa"/>
              <w:bottom w:w="80" w:type="dxa"/>
              <w:right w:w="120" w:type="dxa"/>
            </w:tcMar>
          </w:tcPr>
          <w:p w14:paraId="3083356C" w14:textId="77777777" w:rsidR="0075283B" w:rsidRDefault="00000000">
            <w:r>
              <w:rPr>
                <w:sz w:val="20"/>
                <w:szCs w:val="20"/>
              </w:rPr>
              <w:t>Angina Pectoris</w:t>
            </w:r>
          </w:p>
        </w:tc>
        <w:tc>
          <w:tcPr>
            <w:tcW w:w="18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34A52D4D" w14:textId="77777777" w:rsidR="0075283B" w:rsidRDefault="00000000">
            <w:pPr>
              <w:jc w:val="center"/>
            </w:pPr>
            <w:r>
              <w:rPr>
                <w:sz w:val="20"/>
                <w:szCs w:val="20"/>
              </w:rPr>
              <w:t>38</w:t>
            </w:r>
          </w:p>
        </w:tc>
        <w:tc>
          <w:tcPr>
            <w:tcW w:w="18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3FC7BE3C" w14:textId="77777777" w:rsidR="0075283B" w:rsidRDefault="00000000">
            <w:pPr>
              <w:jc w:val="center"/>
            </w:pPr>
            <w:r>
              <w:rPr>
                <w:sz w:val="20"/>
                <w:szCs w:val="20"/>
              </w:rPr>
              <w:t>3.06%</w:t>
            </w:r>
          </w:p>
        </w:tc>
      </w:tr>
      <w:tr w:rsidR="0075283B" w14:paraId="1CE858AA" w14:textId="77777777">
        <w:tc>
          <w:tcPr>
            <w:tcW w:w="5760" w:type="dxa"/>
            <w:tcBorders>
              <w:top w:val="single" w:sz="1" w:space="0" w:color="CCCCCC"/>
              <w:left w:val="single" w:sz="1" w:space="0" w:color="CCCCCC"/>
              <w:bottom w:val="single" w:sz="1" w:space="0" w:color="CCCCCC"/>
              <w:right w:val="single" w:sz="1" w:space="0" w:color="CCCCCC"/>
            </w:tcBorders>
            <w:shd w:val="clear" w:color="auto" w:fill="F2F7FB"/>
            <w:tcMar>
              <w:top w:w="80" w:type="dxa"/>
              <w:left w:w="120" w:type="dxa"/>
              <w:bottom w:w="80" w:type="dxa"/>
              <w:right w:w="120" w:type="dxa"/>
            </w:tcMar>
          </w:tcPr>
          <w:p w14:paraId="7E77381B" w14:textId="77777777" w:rsidR="0075283B" w:rsidRDefault="00000000">
            <w:r>
              <w:rPr>
                <w:sz w:val="20"/>
                <w:szCs w:val="20"/>
              </w:rPr>
              <w:t>Haematoma</w:t>
            </w:r>
          </w:p>
        </w:tc>
        <w:tc>
          <w:tcPr>
            <w:tcW w:w="18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3EB05F84" w14:textId="77777777" w:rsidR="0075283B" w:rsidRDefault="00000000">
            <w:pPr>
              <w:jc w:val="center"/>
            </w:pPr>
            <w:r>
              <w:rPr>
                <w:sz w:val="20"/>
                <w:szCs w:val="20"/>
              </w:rPr>
              <w:t>37</w:t>
            </w:r>
          </w:p>
        </w:tc>
        <w:tc>
          <w:tcPr>
            <w:tcW w:w="18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0F4D2099" w14:textId="77777777" w:rsidR="0075283B" w:rsidRDefault="00000000">
            <w:pPr>
              <w:jc w:val="center"/>
            </w:pPr>
            <w:r>
              <w:rPr>
                <w:sz w:val="20"/>
                <w:szCs w:val="20"/>
              </w:rPr>
              <w:t>2.98%</w:t>
            </w:r>
          </w:p>
        </w:tc>
      </w:tr>
      <w:tr w:rsidR="0075283B" w14:paraId="6567762D" w14:textId="77777777">
        <w:tc>
          <w:tcPr>
            <w:tcW w:w="5760" w:type="dxa"/>
            <w:tcBorders>
              <w:top w:val="single" w:sz="1" w:space="0" w:color="CCCCCC"/>
              <w:left w:val="single" w:sz="1" w:space="0" w:color="CCCCCC"/>
              <w:bottom w:val="single" w:sz="1" w:space="0" w:color="CCCCCC"/>
              <w:right w:val="single" w:sz="1" w:space="0" w:color="CCCCCC"/>
            </w:tcBorders>
            <w:shd w:val="clear" w:color="auto" w:fill="F2F7FB"/>
            <w:tcMar>
              <w:top w:w="80" w:type="dxa"/>
              <w:left w:w="120" w:type="dxa"/>
              <w:bottom w:w="80" w:type="dxa"/>
              <w:right w:w="120" w:type="dxa"/>
            </w:tcMar>
          </w:tcPr>
          <w:p w14:paraId="189E2563" w14:textId="77777777" w:rsidR="0075283B" w:rsidRDefault="00000000">
            <w:r>
              <w:rPr>
                <w:sz w:val="20"/>
                <w:szCs w:val="20"/>
              </w:rPr>
              <w:t>Anaemia</w:t>
            </w:r>
          </w:p>
        </w:tc>
        <w:tc>
          <w:tcPr>
            <w:tcW w:w="18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060D0037" w14:textId="77777777" w:rsidR="0075283B" w:rsidRDefault="00000000">
            <w:pPr>
              <w:jc w:val="center"/>
            </w:pPr>
            <w:r>
              <w:rPr>
                <w:sz w:val="20"/>
                <w:szCs w:val="20"/>
              </w:rPr>
              <w:t>35</w:t>
            </w:r>
          </w:p>
        </w:tc>
        <w:tc>
          <w:tcPr>
            <w:tcW w:w="18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3BCDE8C4" w14:textId="77777777" w:rsidR="0075283B" w:rsidRDefault="00000000">
            <w:pPr>
              <w:jc w:val="center"/>
            </w:pPr>
            <w:r>
              <w:rPr>
                <w:sz w:val="20"/>
                <w:szCs w:val="20"/>
              </w:rPr>
              <w:t>2.82%</w:t>
            </w:r>
          </w:p>
        </w:tc>
      </w:tr>
      <w:tr w:rsidR="0075283B" w14:paraId="7C86192C" w14:textId="77777777">
        <w:tc>
          <w:tcPr>
            <w:tcW w:w="5760" w:type="dxa"/>
            <w:tcBorders>
              <w:top w:val="single" w:sz="1" w:space="0" w:color="CCCCCC"/>
              <w:left w:val="single" w:sz="1" w:space="0" w:color="CCCCCC"/>
              <w:bottom w:val="single" w:sz="1" w:space="0" w:color="CCCCCC"/>
              <w:right w:val="single" w:sz="1" w:space="0" w:color="CCCCCC"/>
            </w:tcBorders>
            <w:shd w:val="clear" w:color="auto" w:fill="F2F7FB"/>
            <w:tcMar>
              <w:top w:w="80" w:type="dxa"/>
              <w:left w:w="120" w:type="dxa"/>
              <w:bottom w:w="80" w:type="dxa"/>
              <w:right w:w="120" w:type="dxa"/>
            </w:tcMar>
          </w:tcPr>
          <w:p w14:paraId="4D2D876B" w14:textId="77777777" w:rsidR="0075283B" w:rsidRDefault="00000000">
            <w:r>
              <w:rPr>
                <w:sz w:val="20"/>
                <w:szCs w:val="20"/>
              </w:rPr>
              <w:t>Drug Resistance</w:t>
            </w:r>
          </w:p>
        </w:tc>
        <w:tc>
          <w:tcPr>
            <w:tcW w:w="18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66B1035D" w14:textId="77777777" w:rsidR="0075283B" w:rsidRDefault="00000000">
            <w:pPr>
              <w:jc w:val="center"/>
            </w:pPr>
            <w:r>
              <w:rPr>
                <w:sz w:val="20"/>
                <w:szCs w:val="20"/>
              </w:rPr>
              <w:t>35</w:t>
            </w:r>
          </w:p>
        </w:tc>
        <w:tc>
          <w:tcPr>
            <w:tcW w:w="18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2FDAEB6A" w14:textId="77777777" w:rsidR="0075283B" w:rsidRDefault="00000000">
            <w:pPr>
              <w:jc w:val="center"/>
            </w:pPr>
            <w:r>
              <w:rPr>
                <w:sz w:val="20"/>
                <w:szCs w:val="20"/>
              </w:rPr>
              <w:t>2.82%</w:t>
            </w:r>
          </w:p>
        </w:tc>
      </w:tr>
      <w:tr w:rsidR="0075283B" w14:paraId="5C7F758C" w14:textId="77777777">
        <w:tc>
          <w:tcPr>
            <w:tcW w:w="5760" w:type="dxa"/>
            <w:tcBorders>
              <w:top w:val="single" w:sz="1" w:space="0" w:color="CCCCCC"/>
              <w:left w:val="single" w:sz="1" w:space="0" w:color="CCCCCC"/>
              <w:bottom w:val="single" w:sz="1" w:space="0" w:color="CCCCCC"/>
              <w:right w:val="single" w:sz="1" w:space="0" w:color="CCCCCC"/>
            </w:tcBorders>
            <w:shd w:val="clear" w:color="auto" w:fill="F2F7FB"/>
            <w:tcMar>
              <w:top w:w="80" w:type="dxa"/>
              <w:left w:w="120" w:type="dxa"/>
              <w:bottom w:w="80" w:type="dxa"/>
              <w:right w:w="120" w:type="dxa"/>
            </w:tcMar>
          </w:tcPr>
          <w:p w14:paraId="3F809AC1" w14:textId="77777777" w:rsidR="0075283B" w:rsidRDefault="00000000">
            <w:r>
              <w:rPr>
                <w:sz w:val="20"/>
                <w:szCs w:val="20"/>
              </w:rPr>
              <w:t>Hypertension</w:t>
            </w:r>
          </w:p>
        </w:tc>
        <w:tc>
          <w:tcPr>
            <w:tcW w:w="18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43BDBC00" w14:textId="77777777" w:rsidR="0075283B" w:rsidRDefault="00000000">
            <w:pPr>
              <w:jc w:val="center"/>
            </w:pPr>
            <w:r>
              <w:rPr>
                <w:sz w:val="20"/>
                <w:szCs w:val="20"/>
              </w:rPr>
              <w:t>33</w:t>
            </w:r>
          </w:p>
        </w:tc>
        <w:tc>
          <w:tcPr>
            <w:tcW w:w="18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60E21654" w14:textId="77777777" w:rsidR="0075283B" w:rsidRDefault="00000000">
            <w:pPr>
              <w:jc w:val="center"/>
            </w:pPr>
            <w:r>
              <w:rPr>
                <w:sz w:val="20"/>
                <w:szCs w:val="20"/>
              </w:rPr>
              <w:t>2.66%</w:t>
            </w:r>
          </w:p>
        </w:tc>
      </w:tr>
      <w:tr w:rsidR="0075283B" w14:paraId="66F4C76A" w14:textId="77777777">
        <w:tc>
          <w:tcPr>
            <w:tcW w:w="5760" w:type="dxa"/>
            <w:tcBorders>
              <w:top w:val="single" w:sz="1" w:space="0" w:color="CCCCCC"/>
              <w:left w:val="single" w:sz="1" w:space="0" w:color="CCCCCC"/>
              <w:bottom w:val="single" w:sz="1" w:space="0" w:color="CCCCCC"/>
              <w:right w:val="single" w:sz="1" w:space="0" w:color="CCCCCC"/>
            </w:tcBorders>
            <w:shd w:val="clear" w:color="auto" w:fill="F2F7FB"/>
            <w:tcMar>
              <w:top w:w="80" w:type="dxa"/>
              <w:left w:w="120" w:type="dxa"/>
              <w:bottom w:w="80" w:type="dxa"/>
              <w:right w:w="120" w:type="dxa"/>
            </w:tcMar>
          </w:tcPr>
          <w:p w14:paraId="20CD5E51" w14:textId="77777777" w:rsidR="0075283B" w:rsidRDefault="00000000">
            <w:r>
              <w:rPr>
                <w:sz w:val="20"/>
                <w:szCs w:val="20"/>
              </w:rPr>
              <w:t>Cerebral Haemorrhage</w:t>
            </w:r>
          </w:p>
        </w:tc>
        <w:tc>
          <w:tcPr>
            <w:tcW w:w="18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01A816D5" w14:textId="77777777" w:rsidR="0075283B" w:rsidRDefault="00000000">
            <w:pPr>
              <w:jc w:val="center"/>
            </w:pPr>
            <w:r>
              <w:rPr>
                <w:sz w:val="20"/>
                <w:szCs w:val="20"/>
              </w:rPr>
              <w:t>33</w:t>
            </w:r>
          </w:p>
        </w:tc>
        <w:tc>
          <w:tcPr>
            <w:tcW w:w="18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28808ED8" w14:textId="77777777" w:rsidR="0075283B" w:rsidRDefault="00000000">
            <w:pPr>
              <w:jc w:val="center"/>
            </w:pPr>
            <w:r>
              <w:rPr>
                <w:sz w:val="20"/>
                <w:szCs w:val="20"/>
              </w:rPr>
              <w:t>2.66%</w:t>
            </w:r>
          </w:p>
        </w:tc>
      </w:tr>
      <w:tr w:rsidR="0075283B" w14:paraId="27E4026D" w14:textId="77777777">
        <w:tc>
          <w:tcPr>
            <w:tcW w:w="5760" w:type="dxa"/>
            <w:tcBorders>
              <w:top w:val="single" w:sz="1" w:space="0" w:color="CCCCCC"/>
              <w:left w:val="single" w:sz="1" w:space="0" w:color="CCCCCC"/>
              <w:bottom w:val="single" w:sz="1" w:space="0" w:color="CCCCCC"/>
              <w:right w:val="single" w:sz="1" w:space="0" w:color="CCCCCC"/>
            </w:tcBorders>
            <w:shd w:val="clear" w:color="auto" w:fill="F2F7FB"/>
            <w:tcMar>
              <w:top w:w="80" w:type="dxa"/>
              <w:left w:w="120" w:type="dxa"/>
              <w:bottom w:w="80" w:type="dxa"/>
              <w:right w:w="120" w:type="dxa"/>
            </w:tcMar>
          </w:tcPr>
          <w:p w14:paraId="579315C5" w14:textId="77777777" w:rsidR="0075283B" w:rsidRDefault="00000000">
            <w:r>
              <w:rPr>
                <w:sz w:val="20"/>
                <w:szCs w:val="20"/>
              </w:rPr>
              <w:t>Vascular Pseudoaneurysm</w:t>
            </w:r>
          </w:p>
        </w:tc>
        <w:tc>
          <w:tcPr>
            <w:tcW w:w="18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40B70A12" w14:textId="77777777" w:rsidR="0075283B" w:rsidRDefault="00000000">
            <w:pPr>
              <w:jc w:val="center"/>
            </w:pPr>
            <w:r>
              <w:rPr>
                <w:sz w:val="20"/>
                <w:szCs w:val="20"/>
              </w:rPr>
              <w:t>33</w:t>
            </w:r>
          </w:p>
        </w:tc>
        <w:tc>
          <w:tcPr>
            <w:tcW w:w="18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490A36C5" w14:textId="77777777" w:rsidR="0075283B" w:rsidRDefault="00000000">
            <w:pPr>
              <w:jc w:val="center"/>
            </w:pPr>
            <w:r>
              <w:rPr>
                <w:sz w:val="20"/>
                <w:szCs w:val="20"/>
              </w:rPr>
              <w:t>2.66%</w:t>
            </w:r>
          </w:p>
        </w:tc>
      </w:tr>
      <w:tr w:rsidR="0075283B" w14:paraId="49836667" w14:textId="77777777">
        <w:tc>
          <w:tcPr>
            <w:tcW w:w="5760" w:type="dxa"/>
            <w:tcBorders>
              <w:top w:val="single" w:sz="1" w:space="0" w:color="CCCCCC"/>
              <w:left w:val="single" w:sz="1" w:space="0" w:color="CCCCCC"/>
              <w:bottom w:val="single" w:sz="1" w:space="0" w:color="CCCCCC"/>
              <w:right w:val="single" w:sz="1" w:space="0" w:color="CCCCCC"/>
            </w:tcBorders>
            <w:shd w:val="clear" w:color="auto" w:fill="F2F7FB"/>
            <w:tcMar>
              <w:top w:w="80" w:type="dxa"/>
              <w:left w:w="120" w:type="dxa"/>
              <w:bottom w:w="80" w:type="dxa"/>
              <w:right w:w="120" w:type="dxa"/>
            </w:tcMar>
          </w:tcPr>
          <w:p w14:paraId="713DE7C9" w14:textId="77777777" w:rsidR="0075283B" w:rsidRDefault="00000000">
            <w:r>
              <w:rPr>
                <w:sz w:val="20"/>
                <w:szCs w:val="20"/>
              </w:rPr>
              <w:t>Rash</w:t>
            </w:r>
          </w:p>
        </w:tc>
        <w:tc>
          <w:tcPr>
            <w:tcW w:w="18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6EF20234" w14:textId="77777777" w:rsidR="0075283B" w:rsidRDefault="00000000">
            <w:pPr>
              <w:jc w:val="center"/>
            </w:pPr>
            <w:r>
              <w:rPr>
                <w:sz w:val="20"/>
                <w:szCs w:val="20"/>
              </w:rPr>
              <w:t>30</w:t>
            </w:r>
          </w:p>
        </w:tc>
        <w:tc>
          <w:tcPr>
            <w:tcW w:w="18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554B6C37" w14:textId="77777777" w:rsidR="0075283B" w:rsidRDefault="00000000">
            <w:pPr>
              <w:jc w:val="center"/>
            </w:pPr>
            <w:r>
              <w:rPr>
                <w:sz w:val="20"/>
                <w:szCs w:val="20"/>
              </w:rPr>
              <w:t>2.42%</w:t>
            </w:r>
          </w:p>
        </w:tc>
      </w:tr>
      <w:tr w:rsidR="0075283B" w14:paraId="7A55DEA7" w14:textId="77777777">
        <w:tc>
          <w:tcPr>
            <w:tcW w:w="5760" w:type="dxa"/>
            <w:tcBorders>
              <w:top w:val="single" w:sz="1" w:space="0" w:color="CCCCCC"/>
              <w:left w:val="single" w:sz="1" w:space="0" w:color="CCCCCC"/>
              <w:bottom w:val="single" w:sz="1" w:space="0" w:color="CCCCCC"/>
              <w:right w:val="single" w:sz="1" w:space="0" w:color="CCCCCC"/>
            </w:tcBorders>
            <w:shd w:val="clear" w:color="auto" w:fill="F2F7FB"/>
            <w:tcMar>
              <w:top w:w="80" w:type="dxa"/>
              <w:left w:w="120" w:type="dxa"/>
              <w:bottom w:w="80" w:type="dxa"/>
              <w:right w:w="120" w:type="dxa"/>
            </w:tcMar>
          </w:tcPr>
          <w:p w14:paraId="50FC50E3" w14:textId="77777777" w:rsidR="0075283B" w:rsidRDefault="00000000">
            <w:r>
              <w:rPr>
                <w:sz w:val="20"/>
                <w:szCs w:val="20"/>
              </w:rPr>
              <w:t>Melaena</w:t>
            </w:r>
          </w:p>
        </w:tc>
        <w:tc>
          <w:tcPr>
            <w:tcW w:w="18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7AB7FBA3" w14:textId="77777777" w:rsidR="0075283B" w:rsidRDefault="00000000">
            <w:pPr>
              <w:jc w:val="center"/>
            </w:pPr>
            <w:r>
              <w:rPr>
                <w:sz w:val="20"/>
                <w:szCs w:val="20"/>
              </w:rPr>
              <w:t>29</w:t>
            </w:r>
          </w:p>
        </w:tc>
        <w:tc>
          <w:tcPr>
            <w:tcW w:w="18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7F3DA0FC" w14:textId="77777777" w:rsidR="0075283B" w:rsidRDefault="00000000">
            <w:pPr>
              <w:jc w:val="center"/>
            </w:pPr>
            <w:r>
              <w:rPr>
                <w:sz w:val="20"/>
                <w:szCs w:val="20"/>
              </w:rPr>
              <w:t>2.34%</w:t>
            </w:r>
          </w:p>
        </w:tc>
      </w:tr>
      <w:tr w:rsidR="0075283B" w14:paraId="15EF0374" w14:textId="77777777">
        <w:tc>
          <w:tcPr>
            <w:tcW w:w="5760" w:type="dxa"/>
            <w:tcBorders>
              <w:top w:val="single" w:sz="1" w:space="0" w:color="CCCCCC"/>
              <w:left w:val="single" w:sz="1" w:space="0" w:color="CCCCCC"/>
              <w:bottom w:val="single" w:sz="1" w:space="0" w:color="CCCCCC"/>
              <w:right w:val="single" w:sz="1" w:space="0" w:color="CCCCCC"/>
            </w:tcBorders>
            <w:shd w:val="clear" w:color="auto" w:fill="F2F7FB"/>
            <w:tcMar>
              <w:top w:w="80" w:type="dxa"/>
              <w:left w:w="120" w:type="dxa"/>
              <w:bottom w:w="80" w:type="dxa"/>
              <w:right w:w="120" w:type="dxa"/>
            </w:tcMar>
          </w:tcPr>
          <w:p w14:paraId="4B4B974A" w14:textId="77777777" w:rsidR="0075283B" w:rsidRDefault="00000000">
            <w:r>
              <w:rPr>
                <w:sz w:val="20"/>
                <w:szCs w:val="20"/>
              </w:rPr>
              <w:t>Thrombosis</w:t>
            </w:r>
          </w:p>
        </w:tc>
        <w:tc>
          <w:tcPr>
            <w:tcW w:w="18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2DF7DE01" w14:textId="77777777" w:rsidR="0075283B" w:rsidRDefault="00000000">
            <w:pPr>
              <w:jc w:val="center"/>
            </w:pPr>
            <w:r>
              <w:rPr>
                <w:sz w:val="20"/>
                <w:szCs w:val="20"/>
              </w:rPr>
              <w:t>26</w:t>
            </w:r>
          </w:p>
        </w:tc>
        <w:tc>
          <w:tcPr>
            <w:tcW w:w="18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190CAA53" w14:textId="77777777" w:rsidR="0075283B" w:rsidRDefault="00000000">
            <w:pPr>
              <w:jc w:val="center"/>
            </w:pPr>
            <w:r>
              <w:rPr>
                <w:sz w:val="20"/>
                <w:szCs w:val="20"/>
              </w:rPr>
              <w:t>2.10%</w:t>
            </w:r>
          </w:p>
        </w:tc>
      </w:tr>
      <w:tr w:rsidR="0075283B" w14:paraId="11706301" w14:textId="77777777">
        <w:tc>
          <w:tcPr>
            <w:tcW w:w="5760" w:type="dxa"/>
            <w:tcBorders>
              <w:top w:val="single" w:sz="1" w:space="0" w:color="CCCCCC"/>
              <w:left w:val="single" w:sz="1" w:space="0" w:color="CCCCCC"/>
              <w:bottom w:val="single" w:sz="1" w:space="0" w:color="CCCCCC"/>
              <w:right w:val="single" w:sz="1" w:space="0" w:color="CCCCCC"/>
            </w:tcBorders>
            <w:shd w:val="clear" w:color="auto" w:fill="F2F7FB"/>
            <w:tcMar>
              <w:top w:w="80" w:type="dxa"/>
              <w:left w:w="120" w:type="dxa"/>
              <w:bottom w:w="80" w:type="dxa"/>
              <w:right w:w="120" w:type="dxa"/>
            </w:tcMar>
          </w:tcPr>
          <w:p w14:paraId="0D642FB1" w14:textId="77777777" w:rsidR="0075283B" w:rsidRDefault="00000000">
            <w:r>
              <w:rPr>
                <w:sz w:val="20"/>
                <w:szCs w:val="20"/>
              </w:rPr>
              <w:t>Product Administration Error</w:t>
            </w:r>
          </w:p>
        </w:tc>
        <w:tc>
          <w:tcPr>
            <w:tcW w:w="18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578655C4" w14:textId="77777777" w:rsidR="0075283B" w:rsidRDefault="00000000">
            <w:pPr>
              <w:jc w:val="center"/>
            </w:pPr>
            <w:r>
              <w:rPr>
                <w:sz w:val="20"/>
                <w:szCs w:val="20"/>
              </w:rPr>
              <w:t>26</w:t>
            </w:r>
          </w:p>
        </w:tc>
        <w:tc>
          <w:tcPr>
            <w:tcW w:w="18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57953072" w14:textId="77777777" w:rsidR="0075283B" w:rsidRDefault="00000000">
            <w:pPr>
              <w:jc w:val="center"/>
            </w:pPr>
            <w:r>
              <w:rPr>
                <w:sz w:val="20"/>
                <w:szCs w:val="20"/>
              </w:rPr>
              <w:t>2.10%</w:t>
            </w:r>
          </w:p>
        </w:tc>
      </w:tr>
      <w:tr w:rsidR="0075283B" w14:paraId="7F6F4A36" w14:textId="77777777">
        <w:tc>
          <w:tcPr>
            <w:tcW w:w="5760" w:type="dxa"/>
            <w:tcBorders>
              <w:top w:val="single" w:sz="1" w:space="0" w:color="CCCCCC"/>
              <w:left w:val="single" w:sz="1" w:space="0" w:color="CCCCCC"/>
              <w:bottom w:val="single" w:sz="1" w:space="0" w:color="CCCCCC"/>
              <w:right w:val="single" w:sz="1" w:space="0" w:color="CCCCCC"/>
            </w:tcBorders>
            <w:shd w:val="clear" w:color="auto" w:fill="F2F7FB"/>
            <w:tcMar>
              <w:top w:w="80" w:type="dxa"/>
              <w:left w:w="120" w:type="dxa"/>
              <w:bottom w:w="80" w:type="dxa"/>
              <w:right w:w="120" w:type="dxa"/>
            </w:tcMar>
          </w:tcPr>
          <w:p w14:paraId="1F92CBD2" w14:textId="77777777" w:rsidR="0075283B" w:rsidRDefault="00000000">
            <w:r>
              <w:rPr>
                <w:sz w:val="20"/>
                <w:szCs w:val="20"/>
              </w:rPr>
              <w:t>Diarrhoea</w:t>
            </w:r>
          </w:p>
        </w:tc>
        <w:tc>
          <w:tcPr>
            <w:tcW w:w="18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5DA20271" w14:textId="77777777" w:rsidR="0075283B" w:rsidRDefault="00000000">
            <w:pPr>
              <w:jc w:val="center"/>
            </w:pPr>
            <w:r>
              <w:rPr>
                <w:sz w:val="20"/>
                <w:szCs w:val="20"/>
              </w:rPr>
              <w:t>25</w:t>
            </w:r>
          </w:p>
        </w:tc>
        <w:tc>
          <w:tcPr>
            <w:tcW w:w="18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2B448A02" w14:textId="77777777" w:rsidR="0075283B" w:rsidRDefault="00000000">
            <w:pPr>
              <w:jc w:val="center"/>
            </w:pPr>
            <w:r>
              <w:rPr>
                <w:sz w:val="20"/>
                <w:szCs w:val="20"/>
              </w:rPr>
              <w:t>2.02%</w:t>
            </w:r>
          </w:p>
        </w:tc>
      </w:tr>
      <w:tr w:rsidR="0075283B" w14:paraId="74D64610" w14:textId="77777777">
        <w:tc>
          <w:tcPr>
            <w:tcW w:w="5760" w:type="dxa"/>
            <w:tcBorders>
              <w:top w:val="single" w:sz="1" w:space="0" w:color="CCCCCC"/>
              <w:left w:val="single" w:sz="1" w:space="0" w:color="CCCCCC"/>
              <w:bottom w:val="single" w:sz="1" w:space="0" w:color="CCCCCC"/>
              <w:right w:val="single" w:sz="1" w:space="0" w:color="CCCCCC"/>
            </w:tcBorders>
            <w:shd w:val="clear" w:color="auto" w:fill="F2F7FB"/>
            <w:tcMar>
              <w:top w:w="80" w:type="dxa"/>
              <w:left w:w="120" w:type="dxa"/>
              <w:bottom w:w="80" w:type="dxa"/>
              <w:right w:w="120" w:type="dxa"/>
            </w:tcMar>
          </w:tcPr>
          <w:p w14:paraId="6B7EF180" w14:textId="77777777" w:rsidR="0075283B" w:rsidRDefault="00000000">
            <w:r>
              <w:rPr>
                <w:sz w:val="20"/>
                <w:szCs w:val="20"/>
              </w:rPr>
              <w:t>Vomiting</w:t>
            </w:r>
          </w:p>
        </w:tc>
        <w:tc>
          <w:tcPr>
            <w:tcW w:w="18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0003AD52" w14:textId="77777777" w:rsidR="0075283B" w:rsidRDefault="00000000">
            <w:pPr>
              <w:jc w:val="center"/>
            </w:pPr>
            <w:r>
              <w:rPr>
                <w:sz w:val="20"/>
                <w:szCs w:val="20"/>
              </w:rPr>
              <w:t>24</w:t>
            </w:r>
          </w:p>
        </w:tc>
        <w:tc>
          <w:tcPr>
            <w:tcW w:w="18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281CD2F8" w14:textId="77777777" w:rsidR="0075283B" w:rsidRDefault="00000000">
            <w:pPr>
              <w:jc w:val="center"/>
            </w:pPr>
            <w:r>
              <w:rPr>
                <w:sz w:val="20"/>
                <w:szCs w:val="20"/>
              </w:rPr>
              <w:t>1.94%</w:t>
            </w:r>
          </w:p>
        </w:tc>
      </w:tr>
      <w:tr w:rsidR="0075283B" w14:paraId="79AFC46D" w14:textId="77777777">
        <w:tc>
          <w:tcPr>
            <w:tcW w:w="5760" w:type="dxa"/>
            <w:tcBorders>
              <w:top w:val="single" w:sz="1" w:space="0" w:color="CCCCCC"/>
              <w:left w:val="single" w:sz="1" w:space="0" w:color="CCCCCC"/>
              <w:bottom w:val="single" w:sz="1" w:space="0" w:color="CCCCCC"/>
              <w:right w:val="single" w:sz="1" w:space="0" w:color="CCCCCC"/>
            </w:tcBorders>
            <w:shd w:val="clear" w:color="auto" w:fill="F2F7FB"/>
            <w:tcMar>
              <w:top w:w="80" w:type="dxa"/>
              <w:left w:w="120" w:type="dxa"/>
              <w:bottom w:w="80" w:type="dxa"/>
              <w:right w:w="120" w:type="dxa"/>
            </w:tcMar>
          </w:tcPr>
          <w:p w14:paraId="5B4AD6E6" w14:textId="77777777" w:rsidR="0075283B" w:rsidRDefault="00000000">
            <w:r>
              <w:rPr>
                <w:sz w:val="20"/>
                <w:szCs w:val="20"/>
              </w:rPr>
              <w:t>Completed Suicide</w:t>
            </w:r>
          </w:p>
        </w:tc>
        <w:tc>
          <w:tcPr>
            <w:tcW w:w="18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61231A2F" w14:textId="77777777" w:rsidR="0075283B" w:rsidRDefault="00000000">
            <w:pPr>
              <w:jc w:val="center"/>
            </w:pPr>
            <w:r>
              <w:rPr>
                <w:sz w:val="20"/>
                <w:szCs w:val="20"/>
              </w:rPr>
              <w:t>24</w:t>
            </w:r>
          </w:p>
        </w:tc>
        <w:tc>
          <w:tcPr>
            <w:tcW w:w="18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1AB054BE" w14:textId="77777777" w:rsidR="0075283B" w:rsidRDefault="00000000">
            <w:pPr>
              <w:jc w:val="center"/>
            </w:pPr>
            <w:r>
              <w:rPr>
                <w:sz w:val="20"/>
                <w:szCs w:val="20"/>
              </w:rPr>
              <w:t>1.94%</w:t>
            </w:r>
          </w:p>
        </w:tc>
      </w:tr>
      <w:tr w:rsidR="0075283B" w14:paraId="5BE6AF59" w14:textId="77777777">
        <w:tc>
          <w:tcPr>
            <w:tcW w:w="5760" w:type="dxa"/>
            <w:tcBorders>
              <w:top w:val="single" w:sz="1" w:space="0" w:color="CCCCCC"/>
              <w:left w:val="single" w:sz="1" w:space="0" w:color="CCCCCC"/>
              <w:bottom w:val="single" w:sz="1" w:space="0" w:color="CCCCCC"/>
              <w:right w:val="single" w:sz="1" w:space="0" w:color="CCCCCC"/>
            </w:tcBorders>
            <w:shd w:val="clear" w:color="auto" w:fill="F2F7FB"/>
            <w:tcMar>
              <w:top w:w="80" w:type="dxa"/>
              <w:left w:w="120" w:type="dxa"/>
              <w:bottom w:w="80" w:type="dxa"/>
              <w:right w:w="120" w:type="dxa"/>
            </w:tcMar>
          </w:tcPr>
          <w:p w14:paraId="670F8DC5" w14:textId="77777777" w:rsidR="0075283B" w:rsidRDefault="00000000">
            <w:r>
              <w:rPr>
                <w:sz w:val="20"/>
                <w:szCs w:val="20"/>
              </w:rPr>
              <w:t>Coronary Artery Disease</w:t>
            </w:r>
          </w:p>
        </w:tc>
        <w:tc>
          <w:tcPr>
            <w:tcW w:w="18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5ABEA84A" w14:textId="77777777" w:rsidR="0075283B" w:rsidRDefault="00000000">
            <w:pPr>
              <w:jc w:val="center"/>
            </w:pPr>
            <w:r>
              <w:rPr>
                <w:sz w:val="20"/>
                <w:szCs w:val="20"/>
              </w:rPr>
              <w:t>23</w:t>
            </w:r>
          </w:p>
        </w:tc>
        <w:tc>
          <w:tcPr>
            <w:tcW w:w="18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5F4B0409" w14:textId="77777777" w:rsidR="0075283B" w:rsidRDefault="00000000">
            <w:pPr>
              <w:jc w:val="center"/>
            </w:pPr>
            <w:r>
              <w:rPr>
                <w:sz w:val="20"/>
                <w:szCs w:val="20"/>
              </w:rPr>
              <w:t>1.85%</w:t>
            </w:r>
          </w:p>
        </w:tc>
      </w:tr>
      <w:tr w:rsidR="0075283B" w14:paraId="5F7B8B25" w14:textId="77777777">
        <w:tc>
          <w:tcPr>
            <w:tcW w:w="5760" w:type="dxa"/>
            <w:tcBorders>
              <w:top w:val="single" w:sz="1" w:space="0" w:color="CCCCCC"/>
              <w:left w:val="single" w:sz="1" w:space="0" w:color="CCCCCC"/>
              <w:bottom w:val="single" w:sz="1" w:space="0" w:color="CCCCCC"/>
              <w:right w:val="single" w:sz="1" w:space="0" w:color="CCCCCC"/>
            </w:tcBorders>
            <w:shd w:val="clear" w:color="auto" w:fill="F2F7FB"/>
            <w:tcMar>
              <w:top w:w="80" w:type="dxa"/>
              <w:left w:w="120" w:type="dxa"/>
              <w:bottom w:w="80" w:type="dxa"/>
              <w:right w:w="120" w:type="dxa"/>
            </w:tcMar>
          </w:tcPr>
          <w:p w14:paraId="3BE1E09E" w14:textId="77777777" w:rsidR="0075283B" w:rsidRDefault="00000000">
            <w:r>
              <w:rPr>
                <w:sz w:val="20"/>
                <w:szCs w:val="20"/>
              </w:rPr>
              <w:t>Upper Gastrointestinal Haemorrhage</w:t>
            </w:r>
          </w:p>
        </w:tc>
        <w:tc>
          <w:tcPr>
            <w:tcW w:w="18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6372EDD4" w14:textId="77777777" w:rsidR="0075283B" w:rsidRDefault="00000000">
            <w:pPr>
              <w:jc w:val="center"/>
            </w:pPr>
            <w:r>
              <w:rPr>
                <w:sz w:val="20"/>
                <w:szCs w:val="20"/>
              </w:rPr>
              <w:t>23</w:t>
            </w:r>
          </w:p>
        </w:tc>
        <w:tc>
          <w:tcPr>
            <w:tcW w:w="18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4B1AD573" w14:textId="77777777" w:rsidR="0075283B" w:rsidRDefault="00000000">
            <w:pPr>
              <w:jc w:val="center"/>
            </w:pPr>
            <w:r>
              <w:rPr>
                <w:sz w:val="20"/>
                <w:szCs w:val="20"/>
              </w:rPr>
              <w:t>1.85%</w:t>
            </w:r>
          </w:p>
        </w:tc>
      </w:tr>
      <w:tr w:rsidR="0075283B" w14:paraId="4BC03ACB" w14:textId="77777777">
        <w:tc>
          <w:tcPr>
            <w:tcW w:w="5760" w:type="dxa"/>
            <w:tcBorders>
              <w:top w:val="single" w:sz="1" w:space="0" w:color="CCCCCC"/>
              <w:left w:val="single" w:sz="1" w:space="0" w:color="CCCCCC"/>
              <w:bottom w:val="single" w:sz="1" w:space="0" w:color="CCCCCC"/>
              <w:right w:val="single" w:sz="1" w:space="0" w:color="CCCCCC"/>
            </w:tcBorders>
            <w:shd w:val="clear" w:color="auto" w:fill="F2F7FB"/>
            <w:tcMar>
              <w:top w:w="80" w:type="dxa"/>
              <w:left w:w="120" w:type="dxa"/>
              <w:bottom w:w="80" w:type="dxa"/>
              <w:right w:w="120" w:type="dxa"/>
            </w:tcMar>
          </w:tcPr>
          <w:p w14:paraId="2195F9A3" w14:textId="77777777" w:rsidR="0075283B" w:rsidRDefault="00000000">
            <w:r>
              <w:rPr>
                <w:sz w:val="20"/>
                <w:szCs w:val="20"/>
              </w:rPr>
              <w:t>Hyperhidrosis</w:t>
            </w:r>
          </w:p>
        </w:tc>
        <w:tc>
          <w:tcPr>
            <w:tcW w:w="18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1196AAF9" w14:textId="77777777" w:rsidR="0075283B" w:rsidRDefault="00000000">
            <w:pPr>
              <w:jc w:val="center"/>
            </w:pPr>
            <w:r>
              <w:rPr>
                <w:sz w:val="20"/>
                <w:szCs w:val="20"/>
              </w:rPr>
              <w:t>23</w:t>
            </w:r>
          </w:p>
        </w:tc>
        <w:tc>
          <w:tcPr>
            <w:tcW w:w="18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5C29D43E" w14:textId="77777777" w:rsidR="0075283B" w:rsidRDefault="00000000">
            <w:pPr>
              <w:jc w:val="center"/>
            </w:pPr>
            <w:r>
              <w:rPr>
                <w:sz w:val="20"/>
                <w:szCs w:val="20"/>
              </w:rPr>
              <w:t>1.85%</w:t>
            </w:r>
          </w:p>
        </w:tc>
      </w:tr>
      <w:tr w:rsidR="0075283B" w14:paraId="1921A266" w14:textId="77777777">
        <w:tc>
          <w:tcPr>
            <w:tcW w:w="5760" w:type="dxa"/>
            <w:tcBorders>
              <w:top w:val="single" w:sz="1" w:space="0" w:color="CCCCCC"/>
              <w:left w:val="single" w:sz="1" w:space="0" w:color="CCCCCC"/>
              <w:bottom w:val="single" w:sz="1" w:space="0" w:color="CCCCCC"/>
              <w:right w:val="single" w:sz="1" w:space="0" w:color="CCCCCC"/>
            </w:tcBorders>
            <w:shd w:val="clear" w:color="auto" w:fill="F2F7FB"/>
            <w:tcMar>
              <w:top w:w="80" w:type="dxa"/>
              <w:left w:w="120" w:type="dxa"/>
              <w:bottom w:w="80" w:type="dxa"/>
              <w:right w:w="120" w:type="dxa"/>
            </w:tcMar>
          </w:tcPr>
          <w:p w14:paraId="289C69A5" w14:textId="77777777" w:rsidR="0075283B" w:rsidRDefault="00000000">
            <w:r>
              <w:rPr>
                <w:sz w:val="20"/>
                <w:szCs w:val="20"/>
              </w:rPr>
              <w:t>Coronary Artery Occlusion</w:t>
            </w:r>
          </w:p>
        </w:tc>
        <w:tc>
          <w:tcPr>
            <w:tcW w:w="18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138DA800" w14:textId="77777777" w:rsidR="0075283B" w:rsidRDefault="00000000">
            <w:pPr>
              <w:jc w:val="center"/>
            </w:pPr>
            <w:r>
              <w:rPr>
                <w:sz w:val="20"/>
                <w:szCs w:val="20"/>
              </w:rPr>
              <w:t>23</w:t>
            </w:r>
          </w:p>
        </w:tc>
        <w:tc>
          <w:tcPr>
            <w:tcW w:w="18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3C72BF4C" w14:textId="77777777" w:rsidR="0075283B" w:rsidRDefault="00000000">
            <w:pPr>
              <w:jc w:val="center"/>
            </w:pPr>
            <w:r>
              <w:rPr>
                <w:sz w:val="20"/>
                <w:szCs w:val="20"/>
              </w:rPr>
              <w:t>1.85%</w:t>
            </w:r>
          </w:p>
        </w:tc>
      </w:tr>
      <w:tr w:rsidR="0075283B" w14:paraId="688C712D" w14:textId="77777777">
        <w:tc>
          <w:tcPr>
            <w:tcW w:w="5760" w:type="dxa"/>
            <w:tcBorders>
              <w:top w:val="single" w:sz="1" w:space="0" w:color="CCCCCC"/>
              <w:left w:val="single" w:sz="1" w:space="0" w:color="CCCCCC"/>
              <w:bottom w:val="single" w:sz="1" w:space="0" w:color="CCCCCC"/>
              <w:right w:val="single" w:sz="1" w:space="0" w:color="CCCCCC"/>
            </w:tcBorders>
            <w:shd w:val="clear" w:color="auto" w:fill="F2F7FB"/>
            <w:tcMar>
              <w:top w:w="80" w:type="dxa"/>
              <w:left w:w="120" w:type="dxa"/>
              <w:bottom w:w="80" w:type="dxa"/>
              <w:right w:w="120" w:type="dxa"/>
            </w:tcMar>
          </w:tcPr>
          <w:p w14:paraId="3A5FEA16" w14:textId="77777777" w:rsidR="0075283B" w:rsidRDefault="00000000">
            <w:r>
              <w:rPr>
                <w:sz w:val="20"/>
                <w:szCs w:val="20"/>
              </w:rPr>
              <w:t>Gait Disturbance</w:t>
            </w:r>
          </w:p>
        </w:tc>
        <w:tc>
          <w:tcPr>
            <w:tcW w:w="18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0CA42F54" w14:textId="77777777" w:rsidR="0075283B" w:rsidRDefault="00000000">
            <w:pPr>
              <w:jc w:val="center"/>
            </w:pPr>
            <w:r>
              <w:rPr>
                <w:sz w:val="20"/>
                <w:szCs w:val="20"/>
              </w:rPr>
              <w:t>22</w:t>
            </w:r>
          </w:p>
        </w:tc>
        <w:tc>
          <w:tcPr>
            <w:tcW w:w="18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11B85B1F" w14:textId="77777777" w:rsidR="0075283B" w:rsidRDefault="00000000">
            <w:pPr>
              <w:jc w:val="center"/>
            </w:pPr>
            <w:r>
              <w:rPr>
                <w:sz w:val="20"/>
                <w:szCs w:val="20"/>
              </w:rPr>
              <w:t>1.77%</w:t>
            </w:r>
          </w:p>
        </w:tc>
      </w:tr>
      <w:tr w:rsidR="0075283B" w14:paraId="49FEEB70" w14:textId="77777777">
        <w:tc>
          <w:tcPr>
            <w:tcW w:w="5760" w:type="dxa"/>
            <w:tcBorders>
              <w:top w:val="single" w:sz="1" w:space="0" w:color="CCCCCC"/>
              <w:left w:val="single" w:sz="1" w:space="0" w:color="CCCCCC"/>
              <w:bottom w:val="single" w:sz="1" w:space="0" w:color="CCCCCC"/>
              <w:right w:val="single" w:sz="1" w:space="0" w:color="CCCCCC"/>
            </w:tcBorders>
            <w:shd w:val="clear" w:color="auto" w:fill="F2F7FB"/>
            <w:tcMar>
              <w:top w:w="80" w:type="dxa"/>
              <w:left w:w="120" w:type="dxa"/>
              <w:bottom w:w="80" w:type="dxa"/>
              <w:right w:w="120" w:type="dxa"/>
            </w:tcMar>
          </w:tcPr>
          <w:p w14:paraId="6EDEBF09" w14:textId="77777777" w:rsidR="0075283B" w:rsidRDefault="00000000">
            <w:r>
              <w:rPr>
                <w:sz w:val="20"/>
                <w:szCs w:val="20"/>
              </w:rPr>
              <w:t>Abdominal Pain Upper</w:t>
            </w:r>
          </w:p>
        </w:tc>
        <w:tc>
          <w:tcPr>
            <w:tcW w:w="18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7253A77D" w14:textId="77777777" w:rsidR="0075283B" w:rsidRDefault="00000000">
            <w:pPr>
              <w:jc w:val="center"/>
            </w:pPr>
            <w:r>
              <w:rPr>
                <w:sz w:val="20"/>
                <w:szCs w:val="20"/>
              </w:rPr>
              <w:t>22</w:t>
            </w:r>
          </w:p>
        </w:tc>
        <w:tc>
          <w:tcPr>
            <w:tcW w:w="18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0E4D63EB" w14:textId="77777777" w:rsidR="0075283B" w:rsidRDefault="00000000">
            <w:pPr>
              <w:jc w:val="center"/>
            </w:pPr>
            <w:r>
              <w:rPr>
                <w:sz w:val="20"/>
                <w:szCs w:val="20"/>
              </w:rPr>
              <w:t>1.77%</w:t>
            </w:r>
          </w:p>
        </w:tc>
      </w:tr>
    </w:tbl>
    <w:p w14:paraId="539B02F3" w14:textId="77777777" w:rsidR="0075283B" w:rsidRDefault="00000000">
      <w:pPr>
        <w:spacing w:before="60" w:after="200"/>
      </w:pPr>
      <w:r>
        <w:rPr>
          <w:i/>
          <w:iCs/>
          <w:color w:val="595959"/>
          <w:sz w:val="18"/>
          <w:szCs w:val="18"/>
        </w:rPr>
        <w:lastRenderedPageBreak/>
        <w:t>MedDRA = Medical Dictionary for Regulatory Activities.</w:t>
      </w:r>
    </w:p>
    <w:p w14:paraId="7CCD0741" w14:textId="77777777" w:rsidR="0075283B" w:rsidRDefault="00000000">
      <w:pPr>
        <w:pStyle w:val="Heading2"/>
      </w:pPr>
      <w:r>
        <w:t>3.3 Age Distribution</w:t>
      </w:r>
    </w:p>
    <w:p w14:paraId="609C46CA" w14:textId="77777777" w:rsidR="0075283B" w:rsidRDefault="00000000">
      <w:pPr>
        <w:spacing w:before="80" w:after="120" w:line="276" w:lineRule="auto"/>
        <w:jc w:val="both"/>
      </w:pPr>
      <w:r>
        <w:t>The age distribution of reported cases (Table 3) reflects the typical demographic profile of patients with ACS. Adults aged 65–85 years constituted the largest group (n=504; 40.65%), followed by those aged 18–64 years (n=491; 39.60%). Elderly patients aged over 85 years accounted for 1.29% of reports (n=16). Notably, 18.31% of cases (n=227) did not have an age specified. A small proportion of reports (n=2; 0.16%) involved children aged 3–11 years, potentially representing off-label use.</w:t>
      </w:r>
      <w:r>
        <w:rPr>
          <w:sz w:val="18"/>
          <w:szCs w:val="18"/>
          <w:vertAlign w:val="superscript"/>
        </w:rPr>
        <w:t>13</w:t>
      </w:r>
    </w:p>
    <w:p w14:paraId="6654AF16" w14:textId="77777777" w:rsidR="0075283B" w:rsidRDefault="00000000">
      <w:pPr>
        <w:spacing w:before="200" w:after="80"/>
      </w:pPr>
      <w:r>
        <w:rPr>
          <w:b/>
          <w:bCs/>
          <w:i/>
          <w:iCs/>
          <w:color w:val="1F4E79"/>
          <w:sz w:val="20"/>
          <w:szCs w:val="20"/>
        </w:rPr>
        <w:t>Table 3. Age Distribution of Prasugrel Adverse Event Reports</w:t>
      </w:r>
    </w:p>
    <w:tbl>
      <w:tblPr>
        <w:tblW w:w="9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3120"/>
        <w:gridCol w:w="3120"/>
        <w:gridCol w:w="3120"/>
      </w:tblGrid>
      <w:tr w:rsidR="0075283B" w14:paraId="7FC9CC04" w14:textId="77777777">
        <w:trPr>
          <w:tblHeader/>
        </w:trPr>
        <w:tc>
          <w:tcPr>
            <w:tcW w:w="3120" w:type="dxa"/>
            <w:tcBorders>
              <w:top w:val="single" w:sz="1" w:space="0" w:color="CCCCCC"/>
              <w:left w:val="single" w:sz="1" w:space="0" w:color="CCCCCC"/>
              <w:bottom w:val="single" w:sz="1" w:space="0" w:color="CCCCCC"/>
              <w:right w:val="single" w:sz="1" w:space="0" w:color="CCCCCC"/>
            </w:tcBorders>
            <w:shd w:val="clear" w:color="auto" w:fill="1F4E79"/>
            <w:tcMar>
              <w:top w:w="80" w:type="dxa"/>
              <w:left w:w="120" w:type="dxa"/>
              <w:bottom w:w="80" w:type="dxa"/>
              <w:right w:w="120" w:type="dxa"/>
            </w:tcMar>
          </w:tcPr>
          <w:p w14:paraId="59CDDAEC" w14:textId="77777777" w:rsidR="0075283B" w:rsidRDefault="00000000">
            <w:r>
              <w:rPr>
                <w:b/>
                <w:bCs/>
                <w:color w:val="FFFFFF"/>
                <w:sz w:val="20"/>
                <w:szCs w:val="20"/>
              </w:rPr>
              <w:t>Age Group</w:t>
            </w:r>
          </w:p>
        </w:tc>
        <w:tc>
          <w:tcPr>
            <w:tcW w:w="3120" w:type="dxa"/>
            <w:tcBorders>
              <w:top w:val="single" w:sz="1" w:space="0" w:color="CCCCCC"/>
              <w:left w:val="single" w:sz="1" w:space="0" w:color="CCCCCC"/>
              <w:bottom w:val="single" w:sz="1" w:space="0" w:color="CCCCCC"/>
              <w:right w:val="single" w:sz="1" w:space="0" w:color="CCCCCC"/>
            </w:tcBorders>
            <w:shd w:val="clear" w:color="auto" w:fill="1F4E79"/>
            <w:tcMar>
              <w:top w:w="80" w:type="dxa"/>
              <w:left w:w="120" w:type="dxa"/>
              <w:bottom w:w="80" w:type="dxa"/>
              <w:right w:w="120" w:type="dxa"/>
            </w:tcMar>
          </w:tcPr>
          <w:p w14:paraId="49547A35" w14:textId="77777777" w:rsidR="0075283B" w:rsidRDefault="00000000">
            <w:pPr>
              <w:jc w:val="center"/>
            </w:pPr>
            <w:r>
              <w:rPr>
                <w:b/>
                <w:bCs/>
                <w:color w:val="FFFFFF"/>
                <w:sz w:val="20"/>
                <w:szCs w:val="20"/>
              </w:rPr>
              <w:t>Number of Cases</w:t>
            </w:r>
          </w:p>
        </w:tc>
        <w:tc>
          <w:tcPr>
            <w:tcW w:w="3120" w:type="dxa"/>
            <w:tcBorders>
              <w:top w:val="single" w:sz="1" w:space="0" w:color="CCCCCC"/>
              <w:left w:val="single" w:sz="1" w:space="0" w:color="CCCCCC"/>
              <w:bottom w:val="single" w:sz="1" w:space="0" w:color="CCCCCC"/>
              <w:right w:val="single" w:sz="1" w:space="0" w:color="CCCCCC"/>
            </w:tcBorders>
            <w:shd w:val="clear" w:color="auto" w:fill="1F4E79"/>
            <w:tcMar>
              <w:top w:w="80" w:type="dxa"/>
              <w:left w:w="120" w:type="dxa"/>
              <w:bottom w:w="80" w:type="dxa"/>
              <w:right w:w="120" w:type="dxa"/>
            </w:tcMar>
          </w:tcPr>
          <w:p w14:paraId="48E1215D" w14:textId="77777777" w:rsidR="0075283B" w:rsidRDefault="00000000">
            <w:pPr>
              <w:jc w:val="center"/>
            </w:pPr>
            <w:r>
              <w:rPr>
                <w:b/>
                <w:bCs/>
                <w:color w:val="FFFFFF"/>
                <w:sz w:val="20"/>
                <w:szCs w:val="20"/>
              </w:rPr>
              <w:t>Percentage</w:t>
            </w:r>
          </w:p>
        </w:tc>
      </w:tr>
      <w:tr w:rsidR="0075283B" w14:paraId="00C61D9F" w14:textId="77777777">
        <w:tc>
          <w:tcPr>
            <w:tcW w:w="3120" w:type="dxa"/>
            <w:tcBorders>
              <w:top w:val="single" w:sz="1" w:space="0" w:color="CCCCCC"/>
              <w:left w:val="single" w:sz="1" w:space="0" w:color="CCCCCC"/>
              <w:bottom w:val="single" w:sz="1" w:space="0" w:color="CCCCCC"/>
              <w:right w:val="single" w:sz="1" w:space="0" w:color="CCCCCC"/>
            </w:tcBorders>
            <w:shd w:val="clear" w:color="auto" w:fill="F2F7FB"/>
            <w:tcMar>
              <w:top w:w="80" w:type="dxa"/>
              <w:left w:w="120" w:type="dxa"/>
              <w:bottom w:w="80" w:type="dxa"/>
              <w:right w:w="120" w:type="dxa"/>
            </w:tcMar>
          </w:tcPr>
          <w:p w14:paraId="7BA4B07B" w14:textId="77777777" w:rsidR="0075283B" w:rsidRDefault="00000000">
            <w:r>
              <w:rPr>
                <w:color w:val="000000"/>
                <w:sz w:val="20"/>
                <w:szCs w:val="20"/>
              </w:rPr>
              <w:t>3–11 Years</w:t>
            </w:r>
          </w:p>
        </w:tc>
        <w:tc>
          <w:tcPr>
            <w:tcW w:w="312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781368C6" w14:textId="77777777" w:rsidR="0075283B" w:rsidRDefault="00000000">
            <w:pPr>
              <w:jc w:val="center"/>
            </w:pPr>
            <w:r>
              <w:rPr>
                <w:color w:val="000000"/>
                <w:sz w:val="20"/>
                <w:szCs w:val="20"/>
              </w:rPr>
              <w:t>2</w:t>
            </w:r>
          </w:p>
        </w:tc>
        <w:tc>
          <w:tcPr>
            <w:tcW w:w="3120" w:type="dxa"/>
            <w:tcBorders>
              <w:top w:val="single" w:sz="1" w:space="0" w:color="CCCCCC"/>
              <w:left w:val="single" w:sz="1" w:space="0" w:color="CCCCCC"/>
              <w:bottom w:val="single" w:sz="1" w:space="0" w:color="CCCCCC"/>
              <w:right w:val="single" w:sz="1" w:space="0" w:color="CCCCCC"/>
            </w:tcBorders>
            <w:shd w:val="clear" w:color="auto" w:fill="F2F7FB"/>
            <w:tcMar>
              <w:top w:w="80" w:type="dxa"/>
              <w:left w:w="120" w:type="dxa"/>
              <w:bottom w:w="80" w:type="dxa"/>
              <w:right w:w="120" w:type="dxa"/>
            </w:tcMar>
          </w:tcPr>
          <w:p w14:paraId="1BA76B25" w14:textId="77777777" w:rsidR="0075283B" w:rsidRDefault="00000000">
            <w:pPr>
              <w:jc w:val="center"/>
            </w:pPr>
            <w:r>
              <w:rPr>
                <w:color w:val="000000"/>
                <w:sz w:val="20"/>
                <w:szCs w:val="20"/>
              </w:rPr>
              <w:t>0.16%</w:t>
            </w:r>
          </w:p>
        </w:tc>
      </w:tr>
      <w:tr w:rsidR="0075283B" w14:paraId="1A30B74B" w14:textId="77777777">
        <w:tc>
          <w:tcPr>
            <w:tcW w:w="3120" w:type="dxa"/>
            <w:tcBorders>
              <w:top w:val="single" w:sz="1" w:space="0" w:color="CCCCCC"/>
              <w:left w:val="single" w:sz="1" w:space="0" w:color="CCCCCC"/>
              <w:bottom w:val="single" w:sz="1" w:space="0" w:color="CCCCCC"/>
              <w:right w:val="single" w:sz="1" w:space="0" w:color="CCCCCC"/>
            </w:tcBorders>
            <w:shd w:val="clear" w:color="auto" w:fill="F2F7FB"/>
            <w:tcMar>
              <w:top w:w="80" w:type="dxa"/>
              <w:left w:w="120" w:type="dxa"/>
              <w:bottom w:w="80" w:type="dxa"/>
              <w:right w:w="120" w:type="dxa"/>
            </w:tcMar>
          </w:tcPr>
          <w:p w14:paraId="4B6B128F" w14:textId="77777777" w:rsidR="0075283B" w:rsidRDefault="00000000">
            <w:r>
              <w:rPr>
                <w:color w:val="000000"/>
                <w:sz w:val="20"/>
                <w:szCs w:val="20"/>
              </w:rPr>
              <w:t>18–64 Years</w:t>
            </w:r>
          </w:p>
        </w:tc>
        <w:tc>
          <w:tcPr>
            <w:tcW w:w="312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65B3E1D2" w14:textId="77777777" w:rsidR="0075283B" w:rsidRDefault="00000000">
            <w:pPr>
              <w:jc w:val="center"/>
            </w:pPr>
            <w:r>
              <w:rPr>
                <w:color w:val="000000"/>
                <w:sz w:val="20"/>
                <w:szCs w:val="20"/>
              </w:rPr>
              <w:t>491</w:t>
            </w:r>
          </w:p>
        </w:tc>
        <w:tc>
          <w:tcPr>
            <w:tcW w:w="3120" w:type="dxa"/>
            <w:tcBorders>
              <w:top w:val="single" w:sz="1" w:space="0" w:color="CCCCCC"/>
              <w:left w:val="single" w:sz="1" w:space="0" w:color="CCCCCC"/>
              <w:bottom w:val="single" w:sz="1" w:space="0" w:color="CCCCCC"/>
              <w:right w:val="single" w:sz="1" w:space="0" w:color="CCCCCC"/>
            </w:tcBorders>
            <w:shd w:val="clear" w:color="auto" w:fill="F2F7FB"/>
            <w:tcMar>
              <w:top w:w="80" w:type="dxa"/>
              <w:left w:w="120" w:type="dxa"/>
              <w:bottom w:w="80" w:type="dxa"/>
              <w:right w:w="120" w:type="dxa"/>
            </w:tcMar>
          </w:tcPr>
          <w:p w14:paraId="40EB33D8" w14:textId="77777777" w:rsidR="0075283B" w:rsidRDefault="00000000">
            <w:pPr>
              <w:jc w:val="center"/>
            </w:pPr>
            <w:r>
              <w:rPr>
                <w:color w:val="000000"/>
                <w:sz w:val="20"/>
                <w:szCs w:val="20"/>
              </w:rPr>
              <w:t>39.60%</w:t>
            </w:r>
          </w:p>
        </w:tc>
      </w:tr>
      <w:tr w:rsidR="0075283B" w14:paraId="533F42B6" w14:textId="77777777">
        <w:tc>
          <w:tcPr>
            <w:tcW w:w="3120" w:type="dxa"/>
            <w:tcBorders>
              <w:top w:val="single" w:sz="1" w:space="0" w:color="CCCCCC"/>
              <w:left w:val="single" w:sz="1" w:space="0" w:color="CCCCCC"/>
              <w:bottom w:val="single" w:sz="1" w:space="0" w:color="CCCCCC"/>
              <w:right w:val="single" w:sz="1" w:space="0" w:color="CCCCCC"/>
            </w:tcBorders>
            <w:shd w:val="clear" w:color="auto" w:fill="F2F7FB"/>
            <w:tcMar>
              <w:top w:w="80" w:type="dxa"/>
              <w:left w:w="120" w:type="dxa"/>
              <w:bottom w:w="80" w:type="dxa"/>
              <w:right w:w="120" w:type="dxa"/>
            </w:tcMar>
          </w:tcPr>
          <w:p w14:paraId="59F47935" w14:textId="77777777" w:rsidR="0075283B" w:rsidRDefault="00000000">
            <w:r>
              <w:rPr>
                <w:color w:val="000000"/>
                <w:sz w:val="20"/>
                <w:szCs w:val="20"/>
              </w:rPr>
              <w:t>65–85 Years</w:t>
            </w:r>
          </w:p>
        </w:tc>
        <w:tc>
          <w:tcPr>
            <w:tcW w:w="312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12DAD29A" w14:textId="77777777" w:rsidR="0075283B" w:rsidRDefault="00000000">
            <w:pPr>
              <w:jc w:val="center"/>
            </w:pPr>
            <w:r>
              <w:rPr>
                <w:color w:val="000000"/>
                <w:sz w:val="20"/>
                <w:szCs w:val="20"/>
              </w:rPr>
              <w:t>504</w:t>
            </w:r>
          </w:p>
        </w:tc>
        <w:tc>
          <w:tcPr>
            <w:tcW w:w="3120" w:type="dxa"/>
            <w:tcBorders>
              <w:top w:val="single" w:sz="1" w:space="0" w:color="CCCCCC"/>
              <w:left w:val="single" w:sz="1" w:space="0" w:color="CCCCCC"/>
              <w:bottom w:val="single" w:sz="1" w:space="0" w:color="CCCCCC"/>
              <w:right w:val="single" w:sz="1" w:space="0" w:color="CCCCCC"/>
            </w:tcBorders>
            <w:shd w:val="clear" w:color="auto" w:fill="F2F7FB"/>
            <w:tcMar>
              <w:top w:w="80" w:type="dxa"/>
              <w:left w:w="120" w:type="dxa"/>
              <w:bottom w:w="80" w:type="dxa"/>
              <w:right w:w="120" w:type="dxa"/>
            </w:tcMar>
          </w:tcPr>
          <w:p w14:paraId="6FCE2A72" w14:textId="77777777" w:rsidR="0075283B" w:rsidRDefault="00000000">
            <w:pPr>
              <w:jc w:val="center"/>
            </w:pPr>
            <w:r>
              <w:rPr>
                <w:color w:val="000000"/>
                <w:sz w:val="20"/>
                <w:szCs w:val="20"/>
              </w:rPr>
              <w:t>40.65%</w:t>
            </w:r>
          </w:p>
        </w:tc>
      </w:tr>
      <w:tr w:rsidR="0075283B" w14:paraId="6CC0B0BD" w14:textId="77777777">
        <w:tc>
          <w:tcPr>
            <w:tcW w:w="3120" w:type="dxa"/>
            <w:tcBorders>
              <w:top w:val="single" w:sz="1" w:space="0" w:color="CCCCCC"/>
              <w:left w:val="single" w:sz="1" w:space="0" w:color="CCCCCC"/>
              <w:bottom w:val="single" w:sz="1" w:space="0" w:color="CCCCCC"/>
              <w:right w:val="single" w:sz="1" w:space="0" w:color="CCCCCC"/>
            </w:tcBorders>
            <w:shd w:val="clear" w:color="auto" w:fill="F2F7FB"/>
            <w:tcMar>
              <w:top w:w="80" w:type="dxa"/>
              <w:left w:w="120" w:type="dxa"/>
              <w:bottom w:w="80" w:type="dxa"/>
              <w:right w:w="120" w:type="dxa"/>
            </w:tcMar>
          </w:tcPr>
          <w:p w14:paraId="3CEF1E27" w14:textId="77777777" w:rsidR="0075283B" w:rsidRDefault="00000000">
            <w:r>
              <w:rPr>
                <w:color w:val="000000"/>
                <w:sz w:val="20"/>
                <w:szCs w:val="20"/>
              </w:rPr>
              <w:t>More than 85 Years</w:t>
            </w:r>
          </w:p>
        </w:tc>
        <w:tc>
          <w:tcPr>
            <w:tcW w:w="312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3C64966F" w14:textId="77777777" w:rsidR="0075283B" w:rsidRDefault="00000000">
            <w:pPr>
              <w:jc w:val="center"/>
            </w:pPr>
            <w:r>
              <w:rPr>
                <w:color w:val="000000"/>
                <w:sz w:val="20"/>
                <w:szCs w:val="20"/>
              </w:rPr>
              <w:t>16</w:t>
            </w:r>
          </w:p>
        </w:tc>
        <w:tc>
          <w:tcPr>
            <w:tcW w:w="3120" w:type="dxa"/>
            <w:tcBorders>
              <w:top w:val="single" w:sz="1" w:space="0" w:color="CCCCCC"/>
              <w:left w:val="single" w:sz="1" w:space="0" w:color="CCCCCC"/>
              <w:bottom w:val="single" w:sz="1" w:space="0" w:color="CCCCCC"/>
              <w:right w:val="single" w:sz="1" w:space="0" w:color="CCCCCC"/>
            </w:tcBorders>
            <w:shd w:val="clear" w:color="auto" w:fill="F2F7FB"/>
            <w:tcMar>
              <w:top w:w="80" w:type="dxa"/>
              <w:left w:w="120" w:type="dxa"/>
              <w:bottom w:w="80" w:type="dxa"/>
              <w:right w:w="120" w:type="dxa"/>
            </w:tcMar>
          </w:tcPr>
          <w:p w14:paraId="79EBF91C" w14:textId="77777777" w:rsidR="0075283B" w:rsidRDefault="00000000">
            <w:pPr>
              <w:jc w:val="center"/>
            </w:pPr>
            <w:r>
              <w:rPr>
                <w:color w:val="000000"/>
                <w:sz w:val="20"/>
                <w:szCs w:val="20"/>
              </w:rPr>
              <w:t>1.29%</w:t>
            </w:r>
          </w:p>
        </w:tc>
      </w:tr>
      <w:tr w:rsidR="0075283B" w14:paraId="33C42717" w14:textId="77777777">
        <w:tc>
          <w:tcPr>
            <w:tcW w:w="3120" w:type="dxa"/>
            <w:tcBorders>
              <w:top w:val="single" w:sz="1" w:space="0" w:color="CCCCCC"/>
              <w:left w:val="single" w:sz="1" w:space="0" w:color="CCCCCC"/>
              <w:bottom w:val="single" w:sz="1" w:space="0" w:color="CCCCCC"/>
              <w:right w:val="single" w:sz="1" w:space="0" w:color="CCCCCC"/>
            </w:tcBorders>
            <w:shd w:val="clear" w:color="auto" w:fill="F2F7FB"/>
            <w:tcMar>
              <w:top w:w="80" w:type="dxa"/>
              <w:left w:w="120" w:type="dxa"/>
              <w:bottom w:w="80" w:type="dxa"/>
              <w:right w:w="120" w:type="dxa"/>
            </w:tcMar>
          </w:tcPr>
          <w:p w14:paraId="37492F62" w14:textId="77777777" w:rsidR="0075283B" w:rsidRDefault="00000000">
            <w:r>
              <w:rPr>
                <w:color w:val="000000"/>
                <w:sz w:val="20"/>
                <w:szCs w:val="20"/>
              </w:rPr>
              <w:t>Not Specified</w:t>
            </w:r>
          </w:p>
        </w:tc>
        <w:tc>
          <w:tcPr>
            <w:tcW w:w="312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0DAB8BA9" w14:textId="77777777" w:rsidR="0075283B" w:rsidRDefault="00000000">
            <w:pPr>
              <w:jc w:val="center"/>
            </w:pPr>
            <w:r>
              <w:rPr>
                <w:color w:val="000000"/>
                <w:sz w:val="20"/>
                <w:szCs w:val="20"/>
              </w:rPr>
              <w:t>227</w:t>
            </w:r>
          </w:p>
        </w:tc>
        <w:tc>
          <w:tcPr>
            <w:tcW w:w="3120" w:type="dxa"/>
            <w:tcBorders>
              <w:top w:val="single" w:sz="1" w:space="0" w:color="CCCCCC"/>
              <w:left w:val="single" w:sz="1" w:space="0" w:color="CCCCCC"/>
              <w:bottom w:val="single" w:sz="1" w:space="0" w:color="CCCCCC"/>
              <w:right w:val="single" w:sz="1" w:space="0" w:color="CCCCCC"/>
            </w:tcBorders>
            <w:shd w:val="clear" w:color="auto" w:fill="F2F7FB"/>
            <w:tcMar>
              <w:top w:w="80" w:type="dxa"/>
              <w:left w:w="120" w:type="dxa"/>
              <w:bottom w:w="80" w:type="dxa"/>
              <w:right w:w="120" w:type="dxa"/>
            </w:tcMar>
          </w:tcPr>
          <w:p w14:paraId="091989B2" w14:textId="77777777" w:rsidR="0075283B" w:rsidRDefault="00000000">
            <w:pPr>
              <w:jc w:val="center"/>
            </w:pPr>
            <w:r>
              <w:rPr>
                <w:color w:val="000000"/>
                <w:sz w:val="20"/>
                <w:szCs w:val="20"/>
              </w:rPr>
              <w:t>18.31%</w:t>
            </w:r>
          </w:p>
        </w:tc>
      </w:tr>
      <w:tr w:rsidR="0075283B" w14:paraId="113DFCAF" w14:textId="77777777">
        <w:tc>
          <w:tcPr>
            <w:tcW w:w="3120" w:type="dxa"/>
            <w:tcBorders>
              <w:top w:val="single" w:sz="1" w:space="0" w:color="CCCCCC"/>
              <w:left w:val="single" w:sz="1" w:space="0" w:color="CCCCCC"/>
              <w:bottom w:val="single" w:sz="1" w:space="0" w:color="CCCCCC"/>
              <w:right w:val="single" w:sz="1" w:space="0" w:color="CCCCCC"/>
            </w:tcBorders>
            <w:shd w:val="clear" w:color="auto" w:fill="D6E4F0"/>
            <w:tcMar>
              <w:top w:w="80" w:type="dxa"/>
              <w:left w:w="120" w:type="dxa"/>
              <w:bottom w:w="80" w:type="dxa"/>
              <w:right w:w="120" w:type="dxa"/>
            </w:tcMar>
          </w:tcPr>
          <w:p w14:paraId="071C6464" w14:textId="77777777" w:rsidR="0075283B" w:rsidRDefault="00000000">
            <w:r>
              <w:rPr>
                <w:b/>
                <w:bCs/>
                <w:sz w:val="20"/>
                <w:szCs w:val="20"/>
              </w:rPr>
              <w:t>Total</w:t>
            </w:r>
          </w:p>
        </w:tc>
        <w:tc>
          <w:tcPr>
            <w:tcW w:w="3120" w:type="dxa"/>
            <w:tcBorders>
              <w:top w:val="single" w:sz="1" w:space="0" w:color="CCCCCC"/>
              <w:left w:val="single" w:sz="1" w:space="0" w:color="CCCCCC"/>
              <w:bottom w:val="single" w:sz="1" w:space="0" w:color="CCCCCC"/>
              <w:right w:val="single" w:sz="1" w:space="0" w:color="CCCCCC"/>
            </w:tcBorders>
            <w:shd w:val="clear" w:color="auto" w:fill="D6E4F0"/>
            <w:tcMar>
              <w:top w:w="80" w:type="dxa"/>
              <w:left w:w="120" w:type="dxa"/>
              <w:bottom w:w="80" w:type="dxa"/>
              <w:right w:w="120" w:type="dxa"/>
            </w:tcMar>
          </w:tcPr>
          <w:p w14:paraId="67440B4B" w14:textId="77777777" w:rsidR="0075283B" w:rsidRDefault="00000000">
            <w:pPr>
              <w:jc w:val="center"/>
            </w:pPr>
            <w:r>
              <w:rPr>
                <w:b/>
                <w:bCs/>
                <w:sz w:val="20"/>
                <w:szCs w:val="20"/>
              </w:rPr>
              <w:t>1,240</w:t>
            </w:r>
          </w:p>
        </w:tc>
        <w:tc>
          <w:tcPr>
            <w:tcW w:w="3120" w:type="dxa"/>
            <w:tcBorders>
              <w:top w:val="single" w:sz="1" w:space="0" w:color="CCCCCC"/>
              <w:left w:val="single" w:sz="1" w:space="0" w:color="CCCCCC"/>
              <w:bottom w:val="single" w:sz="1" w:space="0" w:color="CCCCCC"/>
              <w:right w:val="single" w:sz="1" w:space="0" w:color="CCCCCC"/>
            </w:tcBorders>
            <w:shd w:val="clear" w:color="auto" w:fill="D6E4F0"/>
            <w:tcMar>
              <w:top w:w="80" w:type="dxa"/>
              <w:left w:w="120" w:type="dxa"/>
              <w:bottom w:w="80" w:type="dxa"/>
              <w:right w:w="120" w:type="dxa"/>
            </w:tcMar>
          </w:tcPr>
          <w:p w14:paraId="38723A93" w14:textId="77777777" w:rsidR="0075283B" w:rsidRDefault="00000000">
            <w:pPr>
              <w:jc w:val="center"/>
            </w:pPr>
            <w:r>
              <w:rPr>
                <w:b/>
                <w:bCs/>
                <w:sz w:val="20"/>
                <w:szCs w:val="20"/>
              </w:rPr>
              <w:t>100.00%</w:t>
            </w:r>
          </w:p>
        </w:tc>
      </w:tr>
    </w:tbl>
    <w:p w14:paraId="121392E7" w14:textId="77777777" w:rsidR="0075283B" w:rsidRDefault="0075283B">
      <w:pPr>
        <w:spacing w:before="160"/>
      </w:pPr>
    </w:p>
    <w:p w14:paraId="13F76CC8" w14:textId="77777777" w:rsidR="0075283B" w:rsidRDefault="00000000">
      <w:pPr>
        <w:pStyle w:val="Heading2"/>
      </w:pPr>
      <w:r>
        <w:t>3.4 Sex Distribution</w:t>
      </w:r>
    </w:p>
    <w:p w14:paraId="1614E55D" w14:textId="77777777" w:rsidR="0075283B" w:rsidRDefault="00000000">
      <w:pPr>
        <w:spacing w:before="80" w:after="120" w:line="276" w:lineRule="auto"/>
        <w:jc w:val="both"/>
      </w:pPr>
      <w:r>
        <w:t>Male patients accounted for 57.66% of reports (n=715), while females represented 28.79% (n=357). Sex was not specified in 13.55% of cases (n=168). This male predominance is consistent with the higher prevalence of ACS and coronary artery disease in men, particularly in the age groups most commonly treated with prasugrel.</w:t>
      </w:r>
      <w:r>
        <w:rPr>
          <w:sz w:val="18"/>
          <w:szCs w:val="18"/>
          <w:vertAlign w:val="superscript"/>
        </w:rPr>
        <w:t>4,14</w:t>
      </w:r>
    </w:p>
    <w:p w14:paraId="3AAFD6CF" w14:textId="77777777" w:rsidR="0075283B" w:rsidRDefault="00000000">
      <w:pPr>
        <w:spacing w:before="200" w:after="80"/>
      </w:pPr>
      <w:r>
        <w:rPr>
          <w:b/>
          <w:bCs/>
          <w:i/>
          <w:iCs/>
          <w:color w:val="1F4E79"/>
          <w:sz w:val="20"/>
          <w:szCs w:val="20"/>
        </w:rPr>
        <w:t>Table 4. Sex Distribution of Prasugrel Adverse Event Reports</w:t>
      </w:r>
    </w:p>
    <w:tbl>
      <w:tblPr>
        <w:tblW w:w="9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3120"/>
        <w:gridCol w:w="3120"/>
        <w:gridCol w:w="3120"/>
      </w:tblGrid>
      <w:tr w:rsidR="0075283B" w14:paraId="1B8428F2" w14:textId="77777777">
        <w:trPr>
          <w:tblHeader/>
        </w:trPr>
        <w:tc>
          <w:tcPr>
            <w:tcW w:w="3120" w:type="dxa"/>
            <w:tcBorders>
              <w:top w:val="single" w:sz="1" w:space="0" w:color="CCCCCC"/>
              <w:left w:val="single" w:sz="1" w:space="0" w:color="CCCCCC"/>
              <w:bottom w:val="single" w:sz="1" w:space="0" w:color="CCCCCC"/>
              <w:right w:val="single" w:sz="1" w:space="0" w:color="CCCCCC"/>
            </w:tcBorders>
            <w:shd w:val="clear" w:color="auto" w:fill="1F4E79"/>
            <w:tcMar>
              <w:top w:w="80" w:type="dxa"/>
              <w:left w:w="120" w:type="dxa"/>
              <w:bottom w:w="80" w:type="dxa"/>
              <w:right w:w="120" w:type="dxa"/>
            </w:tcMar>
          </w:tcPr>
          <w:p w14:paraId="06D09B9E" w14:textId="77777777" w:rsidR="0075283B" w:rsidRDefault="00000000">
            <w:r>
              <w:rPr>
                <w:b/>
                <w:bCs/>
                <w:color w:val="FFFFFF"/>
                <w:sz w:val="20"/>
                <w:szCs w:val="20"/>
              </w:rPr>
              <w:t>Sex</w:t>
            </w:r>
          </w:p>
        </w:tc>
        <w:tc>
          <w:tcPr>
            <w:tcW w:w="3120" w:type="dxa"/>
            <w:tcBorders>
              <w:top w:val="single" w:sz="1" w:space="0" w:color="CCCCCC"/>
              <w:left w:val="single" w:sz="1" w:space="0" w:color="CCCCCC"/>
              <w:bottom w:val="single" w:sz="1" w:space="0" w:color="CCCCCC"/>
              <w:right w:val="single" w:sz="1" w:space="0" w:color="CCCCCC"/>
            </w:tcBorders>
            <w:shd w:val="clear" w:color="auto" w:fill="1F4E79"/>
            <w:tcMar>
              <w:top w:w="80" w:type="dxa"/>
              <w:left w:w="120" w:type="dxa"/>
              <w:bottom w:w="80" w:type="dxa"/>
              <w:right w:w="120" w:type="dxa"/>
            </w:tcMar>
          </w:tcPr>
          <w:p w14:paraId="0BEEBCC4" w14:textId="77777777" w:rsidR="0075283B" w:rsidRDefault="00000000">
            <w:pPr>
              <w:jc w:val="center"/>
            </w:pPr>
            <w:r>
              <w:rPr>
                <w:b/>
                <w:bCs/>
                <w:color w:val="FFFFFF"/>
                <w:sz w:val="20"/>
                <w:szCs w:val="20"/>
              </w:rPr>
              <w:t>Number of Cases</w:t>
            </w:r>
          </w:p>
        </w:tc>
        <w:tc>
          <w:tcPr>
            <w:tcW w:w="3120" w:type="dxa"/>
            <w:tcBorders>
              <w:top w:val="single" w:sz="1" w:space="0" w:color="CCCCCC"/>
              <w:left w:val="single" w:sz="1" w:space="0" w:color="CCCCCC"/>
              <w:bottom w:val="single" w:sz="1" w:space="0" w:color="CCCCCC"/>
              <w:right w:val="single" w:sz="1" w:space="0" w:color="CCCCCC"/>
            </w:tcBorders>
            <w:shd w:val="clear" w:color="auto" w:fill="1F4E79"/>
            <w:tcMar>
              <w:top w:w="80" w:type="dxa"/>
              <w:left w:w="120" w:type="dxa"/>
              <w:bottom w:w="80" w:type="dxa"/>
              <w:right w:w="120" w:type="dxa"/>
            </w:tcMar>
          </w:tcPr>
          <w:p w14:paraId="60CC5FCD" w14:textId="77777777" w:rsidR="0075283B" w:rsidRDefault="00000000">
            <w:pPr>
              <w:jc w:val="center"/>
            </w:pPr>
            <w:r>
              <w:rPr>
                <w:b/>
                <w:bCs/>
                <w:color w:val="FFFFFF"/>
                <w:sz w:val="20"/>
                <w:szCs w:val="20"/>
              </w:rPr>
              <w:t>Percentage</w:t>
            </w:r>
          </w:p>
        </w:tc>
      </w:tr>
      <w:tr w:rsidR="0075283B" w14:paraId="56594FB0" w14:textId="77777777">
        <w:tc>
          <w:tcPr>
            <w:tcW w:w="3120" w:type="dxa"/>
            <w:tcBorders>
              <w:top w:val="single" w:sz="1" w:space="0" w:color="CCCCCC"/>
              <w:left w:val="single" w:sz="1" w:space="0" w:color="CCCCCC"/>
              <w:bottom w:val="single" w:sz="1" w:space="0" w:color="CCCCCC"/>
              <w:right w:val="single" w:sz="1" w:space="0" w:color="CCCCCC"/>
            </w:tcBorders>
            <w:shd w:val="clear" w:color="auto" w:fill="F2F7FB"/>
            <w:tcMar>
              <w:top w:w="80" w:type="dxa"/>
              <w:left w:w="120" w:type="dxa"/>
              <w:bottom w:w="80" w:type="dxa"/>
              <w:right w:w="120" w:type="dxa"/>
            </w:tcMar>
          </w:tcPr>
          <w:p w14:paraId="38238DDA" w14:textId="77777777" w:rsidR="0075283B" w:rsidRDefault="00000000">
            <w:r>
              <w:rPr>
                <w:color w:val="000000"/>
                <w:sz w:val="20"/>
                <w:szCs w:val="20"/>
              </w:rPr>
              <w:t>Female</w:t>
            </w:r>
          </w:p>
        </w:tc>
        <w:tc>
          <w:tcPr>
            <w:tcW w:w="312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4705B80A" w14:textId="77777777" w:rsidR="0075283B" w:rsidRDefault="00000000">
            <w:pPr>
              <w:jc w:val="center"/>
            </w:pPr>
            <w:r>
              <w:rPr>
                <w:color w:val="000000"/>
                <w:sz w:val="20"/>
                <w:szCs w:val="20"/>
              </w:rPr>
              <w:t>357</w:t>
            </w:r>
          </w:p>
        </w:tc>
        <w:tc>
          <w:tcPr>
            <w:tcW w:w="3120" w:type="dxa"/>
            <w:tcBorders>
              <w:top w:val="single" w:sz="1" w:space="0" w:color="CCCCCC"/>
              <w:left w:val="single" w:sz="1" w:space="0" w:color="CCCCCC"/>
              <w:bottom w:val="single" w:sz="1" w:space="0" w:color="CCCCCC"/>
              <w:right w:val="single" w:sz="1" w:space="0" w:color="CCCCCC"/>
            </w:tcBorders>
            <w:shd w:val="clear" w:color="auto" w:fill="F2F7FB"/>
            <w:tcMar>
              <w:top w:w="80" w:type="dxa"/>
              <w:left w:w="120" w:type="dxa"/>
              <w:bottom w:w="80" w:type="dxa"/>
              <w:right w:w="120" w:type="dxa"/>
            </w:tcMar>
          </w:tcPr>
          <w:p w14:paraId="41723B4A" w14:textId="77777777" w:rsidR="0075283B" w:rsidRDefault="00000000">
            <w:pPr>
              <w:jc w:val="center"/>
            </w:pPr>
            <w:r>
              <w:rPr>
                <w:color w:val="000000"/>
                <w:sz w:val="20"/>
                <w:szCs w:val="20"/>
              </w:rPr>
              <w:t>28.79%</w:t>
            </w:r>
          </w:p>
        </w:tc>
      </w:tr>
      <w:tr w:rsidR="0075283B" w14:paraId="35FADAEB" w14:textId="77777777">
        <w:tc>
          <w:tcPr>
            <w:tcW w:w="3120" w:type="dxa"/>
            <w:tcBorders>
              <w:top w:val="single" w:sz="1" w:space="0" w:color="CCCCCC"/>
              <w:left w:val="single" w:sz="1" w:space="0" w:color="CCCCCC"/>
              <w:bottom w:val="single" w:sz="1" w:space="0" w:color="CCCCCC"/>
              <w:right w:val="single" w:sz="1" w:space="0" w:color="CCCCCC"/>
            </w:tcBorders>
            <w:shd w:val="clear" w:color="auto" w:fill="F2F7FB"/>
            <w:tcMar>
              <w:top w:w="80" w:type="dxa"/>
              <w:left w:w="120" w:type="dxa"/>
              <w:bottom w:w="80" w:type="dxa"/>
              <w:right w:w="120" w:type="dxa"/>
            </w:tcMar>
          </w:tcPr>
          <w:p w14:paraId="3B52E98E" w14:textId="77777777" w:rsidR="0075283B" w:rsidRDefault="00000000">
            <w:r>
              <w:rPr>
                <w:color w:val="000000"/>
                <w:sz w:val="20"/>
                <w:szCs w:val="20"/>
              </w:rPr>
              <w:t>Male</w:t>
            </w:r>
          </w:p>
        </w:tc>
        <w:tc>
          <w:tcPr>
            <w:tcW w:w="312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76D6C586" w14:textId="77777777" w:rsidR="0075283B" w:rsidRDefault="00000000">
            <w:pPr>
              <w:jc w:val="center"/>
            </w:pPr>
            <w:r>
              <w:rPr>
                <w:color w:val="000000"/>
                <w:sz w:val="20"/>
                <w:szCs w:val="20"/>
              </w:rPr>
              <w:t>715</w:t>
            </w:r>
          </w:p>
        </w:tc>
        <w:tc>
          <w:tcPr>
            <w:tcW w:w="3120" w:type="dxa"/>
            <w:tcBorders>
              <w:top w:val="single" w:sz="1" w:space="0" w:color="CCCCCC"/>
              <w:left w:val="single" w:sz="1" w:space="0" w:color="CCCCCC"/>
              <w:bottom w:val="single" w:sz="1" w:space="0" w:color="CCCCCC"/>
              <w:right w:val="single" w:sz="1" w:space="0" w:color="CCCCCC"/>
            </w:tcBorders>
            <w:shd w:val="clear" w:color="auto" w:fill="F2F7FB"/>
            <w:tcMar>
              <w:top w:w="80" w:type="dxa"/>
              <w:left w:w="120" w:type="dxa"/>
              <w:bottom w:w="80" w:type="dxa"/>
              <w:right w:w="120" w:type="dxa"/>
            </w:tcMar>
          </w:tcPr>
          <w:p w14:paraId="286496D3" w14:textId="77777777" w:rsidR="0075283B" w:rsidRDefault="00000000">
            <w:pPr>
              <w:jc w:val="center"/>
            </w:pPr>
            <w:r>
              <w:rPr>
                <w:color w:val="000000"/>
                <w:sz w:val="20"/>
                <w:szCs w:val="20"/>
              </w:rPr>
              <w:t>57.66%</w:t>
            </w:r>
          </w:p>
        </w:tc>
      </w:tr>
      <w:tr w:rsidR="0075283B" w14:paraId="02F185A6" w14:textId="77777777">
        <w:tc>
          <w:tcPr>
            <w:tcW w:w="3120" w:type="dxa"/>
            <w:tcBorders>
              <w:top w:val="single" w:sz="1" w:space="0" w:color="CCCCCC"/>
              <w:left w:val="single" w:sz="1" w:space="0" w:color="CCCCCC"/>
              <w:bottom w:val="single" w:sz="1" w:space="0" w:color="CCCCCC"/>
              <w:right w:val="single" w:sz="1" w:space="0" w:color="CCCCCC"/>
            </w:tcBorders>
            <w:shd w:val="clear" w:color="auto" w:fill="F2F7FB"/>
            <w:tcMar>
              <w:top w:w="80" w:type="dxa"/>
              <w:left w:w="120" w:type="dxa"/>
              <w:bottom w:w="80" w:type="dxa"/>
              <w:right w:w="120" w:type="dxa"/>
            </w:tcMar>
          </w:tcPr>
          <w:p w14:paraId="73AD4109" w14:textId="77777777" w:rsidR="0075283B" w:rsidRDefault="00000000">
            <w:r>
              <w:rPr>
                <w:color w:val="000000"/>
                <w:sz w:val="20"/>
                <w:szCs w:val="20"/>
              </w:rPr>
              <w:t>Not Specified</w:t>
            </w:r>
          </w:p>
        </w:tc>
        <w:tc>
          <w:tcPr>
            <w:tcW w:w="312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58A4E40A" w14:textId="77777777" w:rsidR="0075283B" w:rsidRDefault="00000000">
            <w:pPr>
              <w:jc w:val="center"/>
            </w:pPr>
            <w:r>
              <w:rPr>
                <w:color w:val="000000"/>
                <w:sz w:val="20"/>
                <w:szCs w:val="20"/>
              </w:rPr>
              <w:t>168</w:t>
            </w:r>
          </w:p>
        </w:tc>
        <w:tc>
          <w:tcPr>
            <w:tcW w:w="3120" w:type="dxa"/>
            <w:tcBorders>
              <w:top w:val="single" w:sz="1" w:space="0" w:color="CCCCCC"/>
              <w:left w:val="single" w:sz="1" w:space="0" w:color="CCCCCC"/>
              <w:bottom w:val="single" w:sz="1" w:space="0" w:color="CCCCCC"/>
              <w:right w:val="single" w:sz="1" w:space="0" w:color="CCCCCC"/>
            </w:tcBorders>
            <w:shd w:val="clear" w:color="auto" w:fill="F2F7FB"/>
            <w:tcMar>
              <w:top w:w="80" w:type="dxa"/>
              <w:left w:w="120" w:type="dxa"/>
              <w:bottom w:w="80" w:type="dxa"/>
              <w:right w:w="120" w:type="dxa"/>
            </w:tcMar>
          </w:tcPr>
          <w:p w14:paraId="48CD3185" w14:textId="77777777" w:rsidR="0075283B" w:rsidRDefault="00000000">
            <w:pPr>
              <w:jc w:val="center"/>
            </w:pPr>
            <w:r>
              <w:rPr>
                <w:color w:val="000000"/>
                <w:sz w:val="20"/>
                <w:szCs w:val="20"/>
              </w:rPr>
              <w:t>13.55%</w:t>
            </w:r>
          </w:p>
        </w:tc>
      </w:tr>
      <w:tr w:rsidR="0075283B" w14:paraId="5AF62341" w14:textId="77777777">
        <w:tc>
          <w:tcPr>
            <w:tcW w:w="3120" w:type="dxa"/>
            <w:tcBorders>
              <w:top w:val="single" w:sz="1" w:space="0" w:color="CCCCCC"/>
              <w:left w:val="single" w:sz="1" w:space="0" w:color="CCCCCC"/>
              <w:bottom w:val="single" w:sz="1" w:space="0" w:color="CCCCCC"/>
              <w:right w:val="single" w:sz="1" w:space="0" w:color="CCCCCC"/>
            </w:tcBorders>
            <w:shd w:val="clear" w:color="auto" w:fill="D6E4F0"/>
            <w:tcMar>
              <w:top w:w="80" w:type="dxa"/>
              <w:left w:w="120" w:type="dxa"/>
              <w:bottom w:w="80" w:type="dxa"/>
              <w:right w:w="120" w:type="dxa"/>
            </w:tcMar>
          </w:tcPr>
          <w:p w14:paraId="06A0EBFA" w14:textId="77777777" w:rsidR="0075283B" w:rsidRDefault="00000000">
            <w:r>
              <w:rPr>
                <w:b/>
                <w:bCs/>
                <w:sz w:val="20"/>
                <w:szCs w:val="20"/>
              </w:rPr>
              <w:t>Total</w:t>
            </w:r>
          </w:p>
        </w:tc>
        <w:tc>
          <w:tcPr>
            <w:tcW w:w="3120" w:type="dxa"/>
            <w:tcBorders>
              <w:top w:val="single" w:sz="1" w:space="0" w:color="CCCCCC"/>
              <w:left w:val="single" w:sz="1" w:space="0" w:color="CCCCCC"/>
              <w:bottom w:val="single" w:sz="1" w:space="0" w:color="CCCCCC"/>
              <w:right w:val="single" w:sz="1" w:space="0" w:color="CCCCCC"/>
            </w:tcBorders>
            <w:shd w:val="clear" w:color="auto" w:fill="D6E4F0"/>
            <w:tcMar>
              <w:top w:w="80" w:type="dxa"/>
              <w:left w:w="120" w:type="dxa"/>
              <w:bottom w:w="80" w:type="dxa"/>
              <w:right w:w="120" w:type="dxa"/>
            </w:tcMar>
          </w:tcPr>
          <w:p w14:paraId="668991EA" w14:textId="77777777" w:rsidR="0075283B" w:rsidRDefault="00000000">
            <w:pPr>
              <w:jc w:val="center"/>
            </w:pPr>
            <w:r>
              <w:rPr>
                <w:b/>
                <w:bCs/>
                <w:sz w:val="20"/>
                <w:szCs w:val="20"/>
              </w:rPr>
              <w:t>1,240</w:t>
            </w:r>
          </w:p>
        </w:tc>
        <w:tc>
          <w:tcPr>
            <w:tcW w:w="3120" w:type="dxa"/>
            <w:tcBorders>
              <w:top w:val="single" w:sz="1" w:space="0" w:color="CCCCCC"/>
              <w:left w:val="single" w:sz="1" w:space="0" w:color="CCCCCC"/>
              <w:bottom w:val="single" w:sz="1" w:space="0" w:color="CCCCCC"/>
              <w:right w:val="single" w:sz="1" w:space="0" w:color="CCCCCC"/>
            </w:tcBorders>
            <w:shd w:val="clear" w:color="auto" w:fill="D6E4F0"/>
            <w:tcMar>
              <w:top w:w="80" w:type="dxa"/>
              <w:left w:w="120" w:type="dxa"/>
              <w:bottom w:w="80" w:type="dxa"/>
              <w:right w:w="120" w:type="dxa"/>
            </w:tcMar>
          </w:tcPr>
          <w:p w14:paraId="46AFA267" w14:textId="77777777" w:rsidR="0075283B" w:rsidRDefault="00000000">
            <w:pPr>
              <w:jc w:val="center"/>
            </w:pPr>
            <w:r>
              <w:rPr>
                <w:b/>
                <w:bCs/>
                <w:sz w:val="20"/>
                <w:szCs w:val="20"/>
              </w:rPr>
              <w:t>100.00%</w:t>
            </w:r>
          </w:p>
        </w:tc>
      </w:tr>
    </w:tbl>
    <w:p w14:paraId="2FB36CA6" w14:textId="77777777" w:rsidR="0075283B" w:rsidRDefault="0075283B">
      <w:pPr>
        <w:spacing w:before="160"/>
      </w:pPr>
    </w:p>
    <w:p w14:paraId="115BF5B3" w14:textId="77777777" w:rsidR="0075283B" w:rsidRDefault="00000000">
      <w:pPr>
        <w:pStyle w:val="Heading2"/>
      </w:pPr>
      <w:r>
        <w:t>3.5 Reporter Type</w:t>
      </w:r>
    </w:p>
    <w:p w14:paraId="0FED7BE4" w14:textId="77777777" w:rsidR="0075283B" w:rsidRDefault="00000000">
      <w:pPr>
        <w:spacing w:before="80" w:after="120" w:line="276" w:lineRule="auto"/>
        <w:jc w:val="both"/>
      </w:pPr>
      <w:r>
        <w:t>Healthcare professionals were the predominant source of adverse event reports, accounting for 83.63% of submissions (n=1,037). Consumer-reported cases constituted 15.08% (n=187), and not-specified reporters made up 1.21% (n=15). The high proportion of healthcare professional reports enhances the clinical credibility and diagnostic accuracy of the reported events.</w:t>
      </w:r>
      <w:r>
        <w:rPr>
          <w:sz w:val="18"/>
          <w:szCs w:val="18"/>
          <w:vertAlign w:val="superscript"/>
        </w:rPr>
        <w:t>8</w:t>
      </w:r>
    </w:p>
    <w:p w14:paraId="24B6A595" w14:textId="77777777" w:rsidR="0075283B" w:rsidRDefault="00000000">
      <w:pPr>
        <w:spacing w:before="200" w:after="80"/>
      </w:pPr>
      <w:r>
        <w:rPr>
          <w:b/>
          <w:bCs/>
          <w:i/>
          <w:iCs/>
          <w:color w:val="1F4E79"/>
          <w:sz w:val="20"/>
          <w:szCs w:val="20"/>
        </w:rPr>
        <w:lastRenderedPageBreak/>
        <w:t>Table 5. Reporter Type Distribution</w:t>
      </w:r>
    </w:p>
    <w:tbl>
      <w:tblPr>
        <w:tblW w:w="9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3120"/>
        <w:gridCol w:w="3120"/>
        <w:gridCol w:w="3120"/>
      </w:tblGrid>
      <w:tr w:rsidR="0075283B" w14:paraId="1088A0EF" w14:textId="77777777">
        <w:trPr>
          <w:tblHeader/>
        </w:trPr>
        <w:tc>
          <w:tcPr>
            <w:tcW w:w="3120" w:type="dxa"/>
            <w:tcBorders>
              <w:top w:val="single" w:sz="1" w:space="0" w:color="CCCCCC"/>
              <w:left w:val="single" w:sz="1" w:space="0" w:color="CCCCCC"/>
              <w:bottom w:val="single" w:sz="1" w:space="0" w:color="CCCCCC"/>
              <w:right w:val="single" w:sz="1" w:space="0" w:color="CCCCCC"/>
            </w:tcBorders>
            <w:shd w:val="clear" w:color="auto" w:fill="1F4E79"/>
            <w:tcMar>
              <w:top w:w="80" w:type="dxa"/>
              <w:left w:w="120" w:type="dxa"/>
              <w:bottom w:w="80" w:type="dxa"/>
              <w:right w:w="120" w:type="dxa"/>
            </w:tcMar>
          </w:tcPr>
          <w:p w14:paraId="0DFB111C" w14:textId="77777777" w:rsidR="0075283B" w:rsidRDefault="00000000">
            <w:r>
              <w:rPr>
                <w:b/>
                <w:bCs/>
                <w:color w:val="FFFFFF"/>
                <w:sz w:val="20"/>
                <w:szCs w:val="20"/>
              </w:rPr>
              <w:t>Reporter Type</w:t>
            </w:r>
          </w:p>
        </w:tc>
        <w:tc>
          <w:tcPr>
            <w:tcW w:w="3120" w:type="dxa"/>
            <w:tcBorders>
              <w:top w:val="single" w:sz="1" w:space="0" w:color="CCCCCC"/>
              <w:left w:val="single" w:sz="1" w:space="0" w:color="CCCCCC"/>
              <w:bottom w:val="single" w:sz="1" w:space="0" w:color="CCCCCC"/>
              <w:right w:val="single" w:sz="1" w:space="0" w:color="CCCCCC"/>
            </w:tcBorders>
            <w:shd w:val="clear" w:color="auto" w:fill="1F4E79"/>
            <w:tcMar>
              <w:top w:w="80" w:type="dxa"/>
              <w:left w:w="120" w:type="dxa"/>
              <w:bottom w:w="80" w:type="dxa"/>
              <w:right w:w="120" w:type="dxa"/>
            </w:tcMar>
          </w:tcPr>
          <w:p w14:paraId="73CC19B0" w14:textId="77777777" w:rsidR="0075283B" w:rsidRDefault="00000000">
            <w:pPr>
              <w:jc w:val="center"/>
            </w:pPr>
            <w:r>
              <w:rPr>
                <w:b/>
                <w:bCs/>
                <w:color w:val="FFFFFF"/>
                <w:sz w:val="20"/>
                <w:szCs w:val="20"/>
              </w:rPr>
              <w:t>Number of Cases</w:t>
            </w:r>
          </w:p>
        </w:tc>
        <w:tc>
          <w:tcPr>
            <w:tcW w:w="3120" w:type="dxa"/>
            <w:tcBorders>
              <w:top w:val="single" w:sz="1" w:space="0" w:color="CCCCCC"/>
              <w:left w:val="single" w:sz="1" w:space="0" w:color="CCCCCC"/>
              <w:bottom w:val="single" w:sz="1" w:space="0" w:color="CCCCCC"/>
              <w:right w:val="single" w:sz="1" w:space="0" w:color="CCCCCC"/>
            </w:tcBorders>
            <w:shd w:val="clear" w:color="auto" w:fill="1F4E79"/>
            <w:tcMar>
              <w:top w:w="80" w:type="dxa"/>
              <w:left w:w="120" w:type="dxa"/>
              <w:bottom w:w="80" w:type="dxa"/>
              <w:right w:w="120" w:type="dxa"/>
            </w:tcMar>
          </w:tcPr>
          <w:p w14:paraId="78026FD1" w14:textId="77777777" w:rsidR="0075283B" w:rsidRDefault="00000000">
            <w:pPr>
              <w:jc w:val="center"/>
            </w:pPr>
            <w:r>
              <w:rPr>
                <w:b/>
                <w:bCs/>
                <w:color w:val="FFFFFF"/>
                <w:sz w:val="20"/>
                <w:szCs w:val="20"/>
              </w:rPr>
              <w:t>Percentage</w:t>
            </w:r>
          </w:p>
        </w:tc>
      </w:tr>
      <w:tr w:rsidR="0075283B" w14:paraId="77109940" w14:textId="77777777">
        <w:tc>
          <w:tcPr>
            <w:tcW w:w="3120" w:type="dxa"/>
            <w:tcBorders>
              <w:top w:val="single" w:sz="1" w:space="0" w:color="CCCCCC"/>
              <w:left w:val="single" w:sz="1" w:space="0" w:color="CCCCCC"/>
              <w:bottom w:val="single" w:sz="1" w:space="0" w:color="CCCCCC"/>
              <w:right w:val="single" w:sz="1" w:space="0" w:color="CCCCCC"/>
            </w:tcBorders>
            <w:shd w:val="clear" w:color="auto" w:fill="F2F7FB"/>
            <w:tcMar>
              <w:top w:w="80" w:type="dxa"/>
              <w:left w:w="120" w:type="dxa"/>
              <w:bottom w:w="80" w:type="dxa"/>
              <w:right w:w="120" w:type="dxa"/>
            </w:tcMar>
          </w:tcPr>
          <w:p w14:paraId="6492BBFA" w14:textId="77777777" w:rsidR="0075283B" w:rsidRDefault="00000000">
            <w:r>
              <w:rPr>
                <w:color w:val="000000"/>
                <w:sz w:val="20"/>
                <w:szCs w:val="20"/>
              </w:rPr>
              <w:t>Healthcare Professional</w:t>
            </w:r>
          </w:p>
        </w:tc>
        <w:tc>
          <w:tcPr>
            <w:tcW w:w="312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6C4246C6" w14:textId="77777777" w:rsidR="0075283B" w:rsidRDefault="00000000">
            <w:pPr>
              <w:jc w:val="center"/>
            </w:pPr>
            <w:r>
              <w:rPr>
                <w:color w:val="000000"/>
                <w:sz w:val="20"/>
                <w:szCs w:val="20"/>
              </w:rPr>
              <w:t>1,037</w:t>
            </w:r>
          </w:p>
        </w:tc>
        <w:tc>
          <w:tcPr>
            <w:tcW w:w="3120" w:type="dxa"/>
            <w:tcBorders>
              <w:top w:val="single" w:sz="1" w:space="0" w:color="CCCCCC"/>
              <w:left w:val="single" w:sz="1" w:space="0" w:color="CCCCCC"/>
              <w:bottom w:val="single" w:sz="1" w:space="0" w:color="CCCCCC"/>
              <w:right w:val="single" w:sz="1" w:space="0" w:color="CCCCCC"/>
            </w:tcBorders>
            <w:shd w:val="clear" w:color="auto" w:fill="F2F7FB"/>
            <w:tcMar>
              <w:top w:w="80" w:type="dxa"/>
              <w:left w:w="120" w:type="dxa"/>
              <w:bottom w:w="80" w:type="dxa"/>
              <w:right w:w="120" w:type="dxa"/>
            </w:tcMar>
          </w:tcPr>
          <w:p w14:paraId="45A21BC8" w14:textId="77777777" w:rsidR="0075283B" w:rsidRDefault="00000000">
            <w:pPr>
              <w:jc w:val="center"/>
            </w:pPr>
            <w:r>
              <w:rPr>
                <w:color w:val="000000"/>
                <w:sz w:val="20"/>
                <w:szCs w:val="20"/>
              </w:rPr>
              <w:t>83.63%</w:t>
            </w:r>
          </w:p>
        </w:tc>
      </w:tr>
      <w:tr w:rsidR="0075283B" w14:paraId="0425B5CC" w14:textId="77777777">
        <w:tc>
          <w:tcPr>
            <w:tcW w:w="3120" w:type="dxa"/>
            <w:tcBorders>
              <w:top w:val="single" w:sz="1" w:space="0" w:color="CCCCCC"/>
              <w:left w:val="single" w:sz="1" w:space="0" w:color="CCCCCC"/>
              <w:bottom w:val="single" w:sz="1" w:space="0" w:color="CCCCCC"/>
              <w:right w:val="single" w:sz="1" w:space="0" w:color="CCCCCC"/>
            </w:tcBorders>
            <w:shd w:val="clear" w:color="auto" w:fill="F2F7FB"/>
            <w:tcMar>
              <w:top w:w="80" w:type="dxa"/>
              <w:left w:w="120" w:type="dxa"/>
              <w:bottom w:w="80" w:type="dxa"/>
              <w:right w:w="120" w:type="dxa"/>
            </w:tcMar>
          </w:tcPr>
          <w:p w14:paraId="52D42509" w14:textId="77777777" w:rsidR="0075283B" w:rsidRDefault="00000000">
            <w:r>
              <w:rPr>
                <w:color w:val="000000"/>
                <w:sz w:val="20"/>
                <w:szCs w:val="20"/>
              </w:rPr>
              <w:t>Consumer</w:t>
            </w:r>
          </w:p>
        </w:tc>
        <w:tc>
          <w:tcPr>
            <w:tcW w:w="312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2F9D9C9E" w14:textId="77777777" w:rsidR="0075283B" w:rsidRDefault="00000000">
            <w:pPr>
              <w:jc w:val="center"/>
            </w:pPr>
            <w:r>
              <w:rPr>
                <w:color w:val="000000"/>
                <w:sz w:val="20"/>
                <w:szCs w:val="20"/>
              </w:rPr>
              <w:t>187</w:t>
            </w:r>
          </w:p>
        </w:tc>
        <w:tc>
          <w:tcPr>
            <w:tcW w:w="3120" w:type="dxa"/>
            <w:tcBorders>
              <w:top w:val="single" w:sz="1" w:space="0" w:color="CCCCCC"/>
              <w:left w:val="single" w:sz="1" w:space="0" w:color="CCCCCC"/>
              <w:bottom w:val="single" w:sz="1" w:space="0" w:color="CCCCCC"/>
              <w:right w:val="single" w:sz="1" w:space="0" w:color="CCCCCC"/>
            </w:tcBorders>
            <w:shd w:val="clear" w:color="auto" w:fill="F2F7FB"/>
            <w:tcMar>
              <w:top w:w="80" w:type="dxa"/>
              <w:left w:w="120" w:type="dxa"/>
              <w:bottom w:w="80" w:type="dxa"/>
              <w:right w:w="120" w:type="dxa"/>
            </w:tcMar>
          </w:tcPr>
          <w:p w14:paraId="4C8E24C7" w14:textId="77777777" w:rsidR="0075283B" w:rsidRDefault="00000000">
            <w:pPr>
              <w:jc w:val="center"/>
            </w:pPr>
            <w:r>
              <w:rPr>
                <w:color w:val="000000"/>
                <w:sz w:val="20"/>
                <w:szCs w:val="20"/>
              </w:rPr>
              <w:t>15.08%</w:t>
            </w:r>
          </w:p>
        </w:tc>
      </w:tr>
      <w:tr w:rsidR="0075283B" w14:paraId="65FFBF88" w14:textId="77777777">
        <w:tc>
          <w:tcPr>
            <w:tcW w:w="3120" w:type="dxa"/>
            <w:tcBorders>
              <w:top w:val="single" w:sz="1" w:space="0" w:color="CCCCCC"/>
              <w:left w:val="single" w:sz="1" w:space="0" w:color="CCCCCC"/>
              <w:bottom w:val="single" w:sz="1" w:space="0" w:color="CCCCCC"/>
              <w:right w:val="single" w:sz="1" w:space="0" w:color="CCCCCC"/>
            </w:tcBorders>
            <w:shd w:val="clear" w:color="auto" w:fill="F2F7FB"/>
            <w:tcMar>
              <w:top w:w="80" w:type="dxa"/>
              <w:left w:w="120" w:type="dxa"/>
              <w:bottom w:w="80" w:type="dxa"/>
              <w:right w:w="120" w:type="dxa"/>
            </w:tcMar>
          </w:tcPr>
          <w:p w14:paraId="35BBFBDF" w14:textId="77777777" w:rsidR="0075283B" w:rsidRDefault="00000000">
            <w:r>
              <w:rPr>
                <w:color w:val="000000"/>
                <w:sz w:val="20"/>
                <w:szCs w:val="20"/>
              </w:rPr>
              <w:t>Other</w:t>
            </w:r>
          </w:p>
        </w:tc>
        <w:tc>
          <w:tcPr>
            <w:tcW w:w="312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07BA6CA9" w14:textId="77777777" w:rsidR="0075283B" w:rsidRDefault="00000000">
            <w:pPr>
              <w:jc w:val="center"/>
            </w:pPr>
            <w:r>
              <w:rPr>
                <w:color w:val="000000"/>
                <w:sz w:val="20"/>
                <w:szCs w:val="20"/>
              </w:rPr>
              <w:t>1</w:t>
            </w:r>
          </w:p>
        </w:tc>
        <w:tc>
          <w:tcPr>
            <w:tcW w:w="3120" w:type="dxa"/>
            <w:tcBorders>
              <w:top w:val="single" w:sz="1" w:space="0" w:color="CCCCCC"/>
              <w:left w:val="single" w:sz="1" w:space="0" w:color="CCCCCC"/>
              <w:bottom w:val="single" w:sz="1" w:space="0" w:color="CCCCCC"/>
              <w:right w:val="single" w:sz="1" w:space="0" w:color="CCCCCC"/>
            </w:tcBorders>
            <w:shd w:val="clear" w:color="auto" w:fill="F2F7FB"/>
            <w:tcMar>
              <w:top w:w="80" w:type="dxa"/>
              <w:left w:w="120" w:type="dxa"/>
              <w:bottom w:w="80" w:type="dxa"/>
              <w:right w:w="120" w:type="dxa"/>
            </w:tcMar>
          </w:tcPr>
          <w:p w14:paraId="15E75049" w14:textId="77777777" w:rsidR="0075283B" w:rsidRDefault="00000000">
            <w:pPr>
              <w:jc w:val="center"/>
            </w:pPr>
            <w:r>
              <w:rPr>
                <w:color w:val="000000"/>
                <w:sz w:val="20"/>
                <w:szCs w:val="20"/>
              </w:rPr>
              <w:t>0.08%</w:t>
            </w:r>
          </w:p>
        </w:tc>
      </w:tr>
      <w:tr w:rsidR="0075283B" w14:paraId="2BA369B5" w14:textId="77777777">
        <w:tc>
          <w:tcPr>
            <w:tcW w:w="3120" w:type="dxa"/>
            <w:tcBorders>
              <w:top w:val="single" w:sz="1" w:space="0" w:color="CCCCCC"/>
              <w:left w:val="single" w:sz="1" w:space="0" w:color="CCCCCC"/>
              <w:bottom w:val="single" w:sz="1" w:space="0" w:color="CCCCCC"/>
              <w:right w:val="single" w:sz="1" w:space="0" w:color="CCCCCC"/>
            </w:tcBorders>
            <w:shd w:val="clear" w:color="auto" w:fill="F2F7FB"/>
            <w:tcMar>
              <w:top w:w="80" w:type="dxa"/>
              <w:left w:w="120" w:type="dxa"/>
              <w:bottom w:w="80" w:type="dxa"/>
              <w:right w:w="120" w:type="dxa"/>
            </w:tcMar>
          </w:tcPr>
          <w:p w14:paraId="1F63BB65" w14:textId="77777777" w:rsidR="0075283B" w:rsidRDefault="00000000">
            <w:r>
              <w:rPr>
                <w:color w:val="000000"/>
                <w:sz w:val="20"/>
                <w:szCs w:val="20"/>
              </w:rPr>
              <w:t>Not Specified</w:t>
            </w:r>
          </w:p>
        </w:tc>
        <w:tc>
          <w:tcPr>
            <w:tcW w:w="312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5018D640" w14:textId="77777777" w:rsidR="0075283B" w:rsidRDefault="00000000">
            <w:pPr>
              <w:jc w:val="center"/>
            </w:pPr>
            <w:r>
              <w:rPr>
                <w:color w:val="000000"/>
                <w:sz w:val="20"/>
                <w:szCs w:val="20"/>
              </w:rPr>
              <w:t>15</w:t>
            </w:r>
          </w:p>
        </w:tc>
        <w:tc>
          <w:tcPr>
            <w:tcW w:w="3120" w:type="dxa"/>
            <w:tcBorders>
              <w:top w:val="single" w:sz="1" w:space="0" w:color="CCCCCC"/>
              <w:left w:val="single" w:sz="1" w:space="0" w:color="CCCCCC"/>
              <w:bottom w:val="single" w:sz="1" w:space="0" w:color="CCCCCC"/>
              <w:right w:val="single" w:sz="1" w:space="0" w:color="CCCCCC"/>
            </w:tcBorders>
            <w:shd w:val="clear" w:color="auto" w:fill="F2F7FB"/>
            <w:tcMar>
              <w:top w:w="80" w:type="dxa"/>
              <w:left w:w="120" w:type="dxa"/>
              <w:bottom w:w="80" w:type="dxa"/>
              <w:right w:w="120" w:type="dxa"/>
            </w:tcMar>
          </w:tcPr>
          <w:p w14:paraId="63E036CE" w14:textId="77777777" w:rsidR="0075283B" w:rsidRDefault="00000000">
            <w:pPr>
              <w:jc w:val="center"/>
            </w:pPr>
            <w:r>
              <w:rPr>
                <w:color w:val="000000"/>
                <w:sz w:val="20"/>
                <w:szCs w:val="20"/>
              </w:rPr>
              <w:t>1.21%</w:t>
            </w:r>
          </w:p>
        </w:tc>
      </w:tr>
      <w:tr w:rsidR="0075283B" w14:paraId="70435CA9" w14:textId="77777777">
        <w:tc>
          <w:tcPr>
            <w:tcW w:w="3120" w:type="dxa"/>
            <w:tcBorders>
              <w:top w:val="single" w:sz="1" w:space="0" w:color="CCCCCC"/>
              <w:left w:val="single" w:sz="1" w:space="0" w:color="CCCCCC"/>
              <w:bottom w:val="single" w:sz="1" w:space="0" w:color="CCCCCC"/>
              <w:right w:val="single" w:sz="1" w:space="0" w:color="CCCCCC"/>
            </w:tcBorders>
            <w:shd w:val="clear" w:color="auto" w:fill="D6E4F0"/>
            <w:tcMar>
              <w:top w:w="80" w:type="dxa"/>
              <w:left w:w="120" w:type="dxa"/>
              <w:bottom w:w="80" w:type="dxa"/>
              <w:right w:w="120" w:type="dxa"/>
            </w:tcMar>
          </w:tcPr>
          <w:p w14:paraId="371B1BAC" w14:textId="77777777" w:rsidR="0075283B" w:rsidRDefault="00000000">
            <w:r>
              <w:rPr>
                <w:b/>
                <w:bCs/>
                <w:sz w:val="20"/>
                <w:szCs w:val="20"/>
              </w:rPr>
              <w:t>Total</w:t>
            </w:r>
          </w:p>
        </w:tc>
        <w:tc>
          <w:tcPr>
            <w:tcW w:w="3120" w:type="dxa"/>
            <w:tcBorders>
              <w:top w:val="single" w:sz="1" w:space="0" w:color="CCCCCC"/>
              <w:left w:val="single" w:sz="1" w:space="0" w:color="CCCCCC"/>
              <w:bottom w:val="single" w:sz="1" w:space="0" w:color="CCCCCC"/>
              <w:right w:val="single" w:sz="1" w:space="0" w:color="CCCCCC"/>
            </w:tcBorders>
            <w:shd w:val="clear" w:color="auto" w:fill="D6E4F0"/>
            <w:tcMar>
              <w:top w:w="80" w:type="dxa"/>
              <w:left w:w="120" w:type="dxa"/>
              <w:bottom w:w="80" w:type="dxa"/>
              <w:right w:w="120" w:type="dxa"/>
            </w:tcMar>
          </w:tcPr>
          <w:p w14:paraId="260163F0" w14:textId="77777777" w:rsidR="0075283B" w:rsidRDefault="00000000">
            <w:pPr>
              <w:jc w:val="center"/>
            </w:pPr>
            <w:r>
              <w:rPr>
                <w:b/>
                <w:bCs/>
                <w:sz w:val="20"/>
                <w:szCs w:val="20"/>
              </w:rPr>
              <w:t>1,240</w:t>
            </w:r>
          </w:p>
        </w:tc>
        <w:tc>
          <w:tcPr>
            <w:tcW w:w="3120" w:type="dxa"/>
            <w:tcBorders>
              <w:top w:val="single" w:sz="1" w:space="0" w:color="CCCCCC"/>
              <w:left w:val="single" w:sz="1" w:space="0" w:color="CCCCCC"/>
              <w:bottom w:val="single" w:sz="1" w:space="0" w:color="CCCCCC"/>
              <w:right w:val="single" w:sz="1" w:space="0" w:color="CCCCCC"/>
            </w:tcBorders>
            <w:shd w:val="clear" w:color="auto" w:fill="D6E4F0"/>
            <w:tcMar>
              <w:top w:w="80" w:type="dxa"/>
              <w:left w:w="120" w:type="dxa"/>
              <w:bottom w:w="80" w:type="dxa"/>
              <w:right w:w="120" w:type="dxa"/>
            </w:tcMar>
          </w:tcPr>
          <w:p w14:paraId="1E63A87C" w14:textId="77777777" w:rsidR="0075283B" w:rsidRDefault="00000000">
            <w:pPr>
              <w:jc w:val="center"/>
            </w:pPr>
            <w:r>
              <w:rPr>
                <w:b/>
                <w:bCs/>
                <w:sz w:val="20"/>
                <w:szCs w:val="20"/>
              </w:rPr>
              <w:t>100.00%</w:t>
            </w:r>
          </w:p>
        </w:tc>
      </w:tr>
    </w:tbl>
    <w:p w14:paraId="6346A166" w14:textId="77777777" w:rsidR="0075283B" w:rsidRDefault="0075283B">
      <w:pPr>
        <w:spacing w:before="160"/>
      </w:pPr>
    </w:p>
    <w:p w14:paraId="27AAB660" w14:textId="77777777" w:rsidR="0075283B" w:rsidRDefault="00000000">
      <w:pPr>
        <w:pStyle w:val="Heading1"/>
        <w:pBdr>
          <w:bottom w:val="single" w:sz="4" w:space="1" w:color="2E75B6"/>
        </w:pBdr>
      </w:pPr>
      <w:r>
        <w:t>4. Discussion</w:t>
      </w:r>
    </w:p>
    <w:p w14:paraId="5B233F10" w14:textId="77777777" w:rsidR="0075283B" w:rsidRDefault="00000000">
      <w:pPr>
        <w:pStyle w:val="Heading2"/>
      </w:pPr>
      <w:r>
        <w:t>4.1 Hemorrhagic Adverse Events</w:t>
      </w:r>
    </w:p>
    <w:p w14:paraId="72373FDF" w14:textId="77777777" w:rsidR="0075283B" w:rsidRDefault="00000000">
      <w:pPr>
        <w:spacing w:before="80" w:after="120" w:line="276" w:lineRule="auto"/>
        <w:jc w:val="both"/>
      </w:pPr>
      <w:r>
        <w:t>The hemorrhagic safety signal observed in this FAERS analysis is consistent with prasugrel's established pharmacological profile and the findings of the pivotal TRITON-TIMI 38 trial, in which prasugrel was associated with a significantly higher rate of TIMI major non-CABG bleeding compared with clopidogrel (2.4% vs. 1.8%; hazard ratio 1.32; 95% CI, 1.03–1.68; P=0.03), including fatal bleeding (0.4% vs. 0.1%).</w:t>
      </w:r>
      <w:r>
        <w:rPr>
          <w:sz w:val="18"/>
          <w:szCs w:val="18"/>
          <w:vertAlign w:val="superscript"/>
        </w:rPr>
        <w:t>4</w:t>
      </w:r>
      <w:r>
        <w:t xml:space="preserve"> The FDA prescribing information for prasugrel highlights epistaxis, gastrointestinal haemorrhage, and haematoma as among the most frequently reported hemorrhagic adverse reactions.</w:t>
      </w:r>
      <w:r>
        <w:rPr>
          <w:sz w:val="18"/>
          <w:szCs w:val="18"/>
          <w:vertAlign w:val="superscript"/>
        </w:rPr>
        <w:t>10</w:t>
      </w:r>
    </w:p>
    <w:p w14:paraId="4C9A3FE7" w14:textId="77777777" w:rsidR="0075283B" w:rsidRDefault="00000000">
      <w:pPr>
        <w:spacing w:before="80" w:after="120" w:line="276" w:lineRule="auto"/>
        <w:jc w:val="both"/>
      </w:pPr>
      <w:r>
        <w:t>Consistent with prior pharmacovigilance research using FAERS and the Japanese Adverse Drug Event Report (JADER) database, the present analysis confirms that hemorrhagic events—spanning gastrointestinal bleeding, epistaxis, cerebral haemorrhage, melaena, and haematoma—collectively represent the dominant safety concern in real-world prasugrel use.</w:t>
      </w:r>
      <w:r>
        <w:rPr>
          <w:sz w:val="18"/>
          <w:szCs w:val="18"/>
          <w:vertAlign w:val="superscript"/>
        </w:rPr>
        <w:t>6</w:t>
      </w:r>
      <w:r>
        <w:t xml:space="preserve"> Shimada et al. demonstrated that prasugrel was associated with a more frequent and statistically significant hemorrhagic signal than clopidogrel in both FAERS and JADER, a finding that persisted after adjustment for age, sex, and concomitant medications.</w:t>
      </w:r>
      <w:r>
        <w:rPr>
          <w:sz w:val="18"/>
          <w:szCs w:val="18"/>
          <w:vertAlign w:val="superscript"/>
        </w:rPr>
        <w:t>6</w:t>
      </w:r>
    </w:p>
    <w:p w14:paraId="54925E5A" w14:textId="77777777" w:rsidR="0075283B" w:rsidRDefault="00000000">
      <w:pPr>
        <w:spacing w:before="80" w:after="120" w:line="276" w:lineRule="auto"/>
        <w:jc w:val="both"/>
      </w:pPr>
      <w:r>
        <w:t>Cerebral haemorrhage (n=33; 2.66%) is a particularly serious concern. The TRITON-TIMI 38 trial excluded patients with prior stroke or TIA, yet post-marketing data indicate that intracranial bleeding remains a real-world risk, especially in elderly patients, those with low body weight (&lt;60 kg), or individuals with pre-existing cerebrovascular disease.</w:t>
      </w:r>
      <w:r>
        <w:rPr>
          <w:sz w:val="18"/>
          <w:szCs w:val="18"/>
          <w:vertAlign w:val="superscript"/>
        </w:rPr>
        <w:t>4,13</w:t>
      </w:r>
      <w:r>
        <w:t xml:space="preserve"> The FDA prescribing information specifically contraindicates prasugrel in patients with prior stroke or TIA and recommends caution in patients older than 75 years.</w:t>
      </w:r>
      <w:r>
        <w:rPr>
          <w:sz w:val="18"/>
          <w:szCs w:val="18"/>
          <w:vertAlign w:val="superscript"/>
        </w:rPr>
        <w:t>10</w:t>
      </w:r>
    </w:p>
    <w:p w14:paraId="0E3A8FF2" w14:textId="77777777" w:rsidR="0075283B" w:rsidRDefault="00000000">
      <w:pPr>
        <w:pStyle w:val="Heading2"/>
      </w:pPr>
      <w:r>
        <w:t>4.2 Cardiovascular Events in a High-Risk Population</w:t>
      </w:r>
    </w:p>
    <w:p w14:paraId="77B0E3F1" w14:textId="77777777" w:rsidR="0075283B" w:rsidRDefault="00000000">
      <w:pPr>
        <w:spacing w:before="80" w:after="120" w:line="276" w:lineRule="auto"/>
        <w:jc w:val="both"/>
      </w:pPr>
      <w:r>
        <w:t>The high frequency of myocardial infarction and acute myocardial infarction reports (combined 10.56%) does not necessarily indicate a causative relationship with prasugrel but rather reflects the inherent cardiovascular risk of the ACS population in which the drug is used. FAERS case reports represent suspected associations submitted voluntarily by reporters, and spontaneous adverse event reporting systems are not designed to establish causality.</w:t>
      </w:r>
      <w:r>
        <w:rPr>
          <w:sz w:val="18"/>
          <w:szCs w:val="18"/>
          <w:vertAlign w:val="superscript"/>
        </w:rPr>
        <w:t>8</w:t>
      </w:r>
    </w:p>
    <w:p w14:paraId="58259B1F" w14:textId="77777777" w:rsidR="0075283B" w:rsidRDefault="00000000">
      <w:pPr>
        <w:spacing w:before="80" w:after="120" w:line="276" w:lineRule="auto"/>
        <w:jc w:val="both"/>
      </w:pPr>
      <w:r>
        <w:lastRenderedPageBreak/>
        <w:t>Chest pain (4.76%) and angina pectoris (3.06%) similarly reflect the underlying disease context. Vascular stent thrombosis (3.63%), however, represents a clinically concerning signal suggesting potential treatment failure. Stent thrombosis may result from premature discontinuation of antiplatelet therapy—a recognised risk that increases cardiovascular mortality—or from inadequate drug response.</w:t>
      </w:r>
      <w:r>
        <w:rPr>
          <w:sz w:val="18"/>
          <w:szCs w:val="18"/>
          <w:vertAlign w:val="superscript"/>
        </w:rPr>
        <w:t>5,12</w:t>
      </w:r>
      <w:r>
        <w:t xml:space="preserve"> Premature DAPT discontinuation is associated with acute stent thrombosis, myocardial infarction, and death, underscoring the importance of patient education and adherence counselling.</w:t>
      </w:r>
      <w:r>
        <w:rPr>
          <w:sz w:val="18"/>
          <w:szCs w:val="18"/>
          <w:vertAlign w:val="superscript"/>
        </w:rPr>
        <w:t>5</w:t>
      </w:r>
    </w:p>
    <w:p w14:paraId="35BCD6CB" w14:textId="77777777" w:rsidR="0075283B" w:rsidRDefault="00000000">
      <w:pPr>
        <w:pStyle w:val="Heading2"/>
      </w:pPr>
      <w:r>
        <w:t>4.3 Drug Interactions and Medication Errors</w:t>
      </w:r>
    </w:p>
    <w:p w14:paraId="2888FE1E" w14:textId="77777777" w:rsidR="0075283B" w:rsidRDefault="00000000">
      <w:pPr>
        <w:spacing w:before="80" w:after="120" w:line="276" w:lineRule="auto"/>
        <w:jc w:val="both"/>
      </w:pPr>
      <w:r>
        <w:t>Drug interaction (4.19%) and labelled drug-drug interaction/medication error (4.03%) featured prominently in this analysis. Prasugrel is subject to clinically significant interactions with medications commonly co-prescribed in ACS patients, including anticoagulants, NSAIDs, and certain antifungals.</w:t>
      </w:r>
      <w:r>
        <w:rPr>
          <w:sz w:val="18"/>
          <w:szCs w:val="18"/>
          <w:vertAlign w:val="superscript"/>
        </w:rPr>
        <w:t>11</w:t>
      </w:r>
      <w:r>
        <w:t xml:space="preserve"> The antiplatelet effects of prasugrel are not affected by CYP2C19 polymorphisms—an important advantage over clopidogrel—but interactions through pharmacodynamic synergism with other antithrombotic agents increase bleeding risk substantially.</w:t>
      </w:r>
      <w:r>
        <w:rPr>
          <w:sz w:val="18"/>
          <w:szCs w:val="18"/>
          <w:vertAlign w:val="superscript"/>
        </w:rPr>
        <w:t>2,3</w:t>
      </w:r>
      <w:r>
        <w:t xml:space="preserve"> The role of pharmacists in identifying and managing these interactions is critical, as they serve as an accessible point of contact for patients and can flag potentially dangerous combinations.</w:t>
      </w:r>
      <w:r>
        <w:rPr>
          <w:sz w:val="18"/>
          <w:szCs w:val="18"/>
          <w:vertAlign w:val="superscript"/>
        </w:rPr>
        <w:t>5</w:t>
      </w:r>
    </w:p>
    <w:p w14:paraId="2A898C9B" w14:textId="77777777" w:rsidR="0075283B" w:rsidRDefault="00000000">
      <w:pPr>
        <w:pStyle w:val="Heading2"/>
      </w:pPr>
      <w:r>
        <w:t>4.4 Neuropsychiatric and Unexpected Signals</w:t>
      </w:r>
    </w:p>
    <w:p w14:paraId="79E3E9A0" w14:textId="77777777" w:rsidR="0075283B" w:rsidRDefault="00000000">
      <w:pPr>
        <w:spacing w:before="80" w:after="120" w:line="276" w:lineRule="auto"/>
        <w:jc w:val="both"/>
      </w:pPr>
      <w:r>
        <w:t>Completed suicide (n=24; 1.94%) and gait disturbance (n=22; 1.77%) represent events not prominently highlighted in prasugrel's prescribing information. While causality cannot be inferred from spontaneous reports, these signals merit further investigation. Neurological and psychiatric adverse events have been explored in prior FAERS analyses of P2Y12 inhibitors, and the presence of such reports warrants attention in future pharmacoepidemiological research.</w:t>
      </w:r>
      <w:r>
        <w:rPr>
          <w:sz w:val="18"/>
          <w:szCs w:val="18"/>
          <w:vertAlign w:val="superscript"/>
        </w:rPr>
        <w:t>15</w:t>
      </w:r>
    </w:p>
    <w:p w14:paraId="37869EBB" w14:textId="77777777" w:rsidR="0075283B" w:rsidRDefault="00000000">
      <w:pPr>
        <w:spacing w:before="80" w:after="120" w:line="276" w:lineRule="auto"/>
        <w:jc w:val="both"/>
      </w:pPr>
      <w:r>
        <w:t>Dizziness (3.06%), headache (3.39%), and dyspnoea (3.95%) are symptoms reported by patients during prasugrel therapy. The LiverTox monograph for prasugrel acknowledges headache, dizziness, and gastrointestinal upset as uncommon but recognised adverse effects.</w:t>
      </w:r>
      <w:r>
        <w:rPr>
          <w:sz w:val="18"/>
          <w:szCs w:val="18"/>
          <w:vertAlign w:val="superscript"/>
        </w:rPr>
        <w:t>9</w:t>
      </w:r>
    </w:p>
    <w:p w14:paraId="42842C4C" w14:textId="77777777" w:rsidR="0075283B" w:rsidRDefault="00000000">
      <w:pPr>
        <w:pStyle w:val="Heading2"/>
      </w:pPr>
      <w:r>
        <w:t>4.5 Temporal Trends</w:t>
      </w:r>
    </w:p>
    <w:p w14:paraId="63A43A92" w14:textId="77777777" w:rsidR="0075283B" w:rsidRDefault="00000000">
      <w:pPr>
        <w:spacing w:before="80" w:after="120" w:line="276" w:lineRule="auto"/>
        <w:jc w:val="both"/>
      </w:pPr>
      <w:r>
        <w:t>The initial reporting surge observed in 2010–2012 (the first full years post-approval) reflects a well-described phenomenon in pharmacovigilance termed the 'Weber effect,' wherein reporting rates peak in the early post-marketing period as clinicians and the public become aware of a new drug.</w:t>
      </w:r>
      <w:r>
        <w:rPr>
          <w:sz w:val="18"/>
          <w:szCs w:val="18"/>
          <w:vertAlign w:val="superscript"/>
        </w:rPr>
        <w:t>8</w:t>
      </w:r>
      <w:r>
        <w:t xml:space="preserve"> The subsequent decline followed by a secondary surge in 2019–2020 may reflect evolving prescribing trends, guideline updates, increased generic availability, or the impact of COVID-19-related changes in cardiovascular care delivery on reporting behaviour.</w:t>
      </w:r>
    </w:p>
    <w:p w14:paraId="2E67E083" w14:textId="77777777" w:rsidR="0075283B" w:rsidRDefault="00000000">
      <w:pPr>
        <w:pStyle w:val="Heading2"/>
      </w:pPr>
      <w:r>
        <w:t>4.6 Comparative Context</w:t>
      </w:r>
    </w:p>
    <w:p w14:paraId="621CC386" w14:textId="77777777" w:rsidR="0075283B" w:rsidRDefault="00000000">
      <w:pPr>
        <w:spacing w:before="80" w:after="120" w:line="276" w:lineRule="auto"/>
        <w:jc w:val="both"/>
      </w:pPr>
      <w:r>
        <w:t>A comparative FAERS analysis by Serebruany et al. examining annual adverse event profiles for clopidogrel, prasugrel, and ticagrelor demonstrated that prasugrel was associated with greater hemorrhagic adverse events relative to clopidogrel but showed superior vascular safety—fewer cardiac and thrombotic events—compared with ticagrelor.</w:t>
      </w:r>
      <w:r>
        <w:rPr>
          <w:sz w:val="18"/>
          <w:szCs w:val="18"/>
          <w:vertAlign w:val="superscript"/>
        </w:rPr>
        <w:t>7</w:t>
      </w:r>
      <w:r>
        <w:t xml:space="preserve"> These comparative data support the conclusion that prasugrel occupies a nuanced position in the antiplatelet landscape: offering superior </w:t>
      </w:r>
      <w:r>
        <w:lastRenderedPageBreak/>
        <w:t>ischemic event prevention over clopidogrel but with a distinct and manageable hemorrhagic trade-off.</w:t>
      </w:r>
    </w:p>
    <w:p w14:paraId="0485E5E4" w14:textId="77777777" w:rsidR="0075283B" w:rsidRDefault="00000000">
      <w:pPr>
        <w:pStyle w:val="Heading2"/>
      </w:pPr>
      <w:r>
        <w:t>4.7 Limitations</w:t>
      </w:r>
    </w:p>
    <w:p w14:paraId="1FD1191F" w14:textId="77777777" w:rsidR="0075283B" w:rsidRDefault="00000000">
      <w:pPr>
        <w:spacing w:before="80" w:after="120" w:line="276" w:lineRule="auto"/>
        <w:jc w:val="both"/>
      </w:pPr>
      <w:r>
        <w:t>This study carries several important limitations inherent to FAERS-based pharmacovigilance research. First, FAERS is a spontaneous reporting system subject to underreporting, reporting bias, and variable data quality. Second, causality cannot be established from spontaneous reports, and confounding by indication and concomitant medications is substantial in this population. Third, the denominator of exposed patients is unknown, precluding incidence rate calculation. Fourth, duplicate reports may inflate case counts despite FAERS deduplication efforts. Fifth, the dataset represents reported—not necessarily occurred—events. These limitations notwithstanding, FAERS remains a valuable tool for hypothesis generation and signal detection in the post-marketing setting.</w:t>
      </w:r>
    </w:p>
    <w:p w14:paraId="33BD8411" w14:textId="77777777" w:rsidR="0075283B" w:rsidRDefault="00000000">
      <w:pPr>
        <w:pStyle w:val="Heading1"/>
        <w:pBdr>
          <w:bottom w:val="single" w:sz="4" w:space="1" w:color="2E75B6"/>
        </w:pBdr>
      </w:pPr>
      <w:r>
        <w:t>5. Conclusion</w:t>
      </w:r>
    </w:p>
    <w:p w14:paraId="088056CC" w14:textId="77777777" w:rsidR="0075283B" w:rsidRDefault="00000000">
      <w:pPr>
        <w:spacing w:before="80" w:after="120" w:line="276" w:lineRule="auto"/>
        <w:jc w:val="both"/>
      </w:pPr>
      <w:r>
        <w:t>This descriptive pharmacovigilance analysis of 1,240 FAERS reports for prasugrel from 2009 through March 2026 demonstrates that hemorrhagic adverse events constitute the dominant safety concern in real-world use, consistent with the drug's mechanism as a potent, irreversible P2Y12 inhibitor. Cardiovascular events—including myocardial infarction, stent thrombosis, and angina—reflect the high-risk population in which prasugrel is prescribed rather than necessarily representing drug toxicity. Clinically important signals related to drug interactions, medication errors, and off-label use warrant continued surveillance and reinforcement of safe prescribing practices. Unexpected events including completed suicide and neurological symptoms merit further investigation in dedicated pharmacoepidemiological studies. Healthcare professionals accounted for over 83% of reports, supporting the credibility of the dataset. Ongoing pharmacovigilance is essential to optimise the benefit-risk balance of prasugrel in real-world clinical practice.</w:t>
      </w:r>
    </w:p>
    <w:p w14:paraId="3E8E82B0" w14:textId="77777777" w:rsidR="0075283B" w:rsidRDefault="00000000">
      <w:pPr>
        <w:pStyle w:val="Heading1"/>
        <w:pBdr>
          <w:bottom w:val="single" w:sz="4" w:space="1" w:color="2E75B6"/>
        </w:pBdr>
      </w:pPr>
      <w:r>
        <w:t>References</w:t>
      </w:r>
    </w:p>
    <w:p w14:paraId="7C3864B6" w14:textId="77777777" w:rsidR="0075283B" w:rsidRDefault="00000000">
      <w:pPr>
        <w:spacing w:before="60" w:after="60"/>
        <w:ind w:left="720" w:hanging="720"/>
      </w:pPr>
      <w:r>
        <w:rPr>
          <w:sz w:val="20"/>
          <w:szCs w:val="20"/>
        </w:rPr>
        <w:t>1. Levine GN, Bates ER, Bittl JA, et al. 2016 ACC/AHA Guideline Focused Update on Duration of Dual Antiplatelet Therapy in Patients With Coronary Artery Disease. J Am Coll Cardiol. 2016;68(10):1082–1115.</w:t>
      </w:r>
    </w:p>
    <w:p w14:paraId="1A7CA4F6" w14:textId="77777777" w:rsidR="0075283B" w:rsidRDefault="00000000">
      <w:pPr>
        <w:spacing w:before="60" w:after="60"/>
        <w:ind w:left="720" w:hanging="720"/>
      </w:pPr>
      <w:r>
        <w:rPr>
          <w:sz w:val="20"/>
          <w:szCs w:val="20"/>
        </w:rPr>
        <w:t>2. Wiviott SD, Antman EM, Braunwald E. Prasugrel. Circulation. 2010;122(4):394–403.</w:t>
      </w:r>
    </w:p>
    <w:p w14:paraId="3AD13B2C" w14:textId="77777777" w:rsidR="0075283B" w:rsidRDefault="00000000">
      <w:pPr>
        <w:spacing w:before="60" w:after="60"/>
        <w:ind w:left="720" w:hanging="720"/>
      </w:pPr>
      <w:r>
        <w:rPr>
          <w:sz w:val="20"/>
          <w:szCs w:val="20"/>
        </w:rPr>
        <w:t>3. Wiviott SD, Antman EM, Winters KJ, et al. Randomized comparison of prasugrel (CS-747, LY640315), a novel thienopyridine P2Y12 antagonist, with clopidogrel in percutaneous coronary intervention: results of the JUMBO-TIMI 26 trial. Circulation. 2005;111(25):3366–3373.</w:t>
      </w:r>
    </w:p>
    <w:p w14:paraId="07D7DD9B" w14:textId="77777777" w:rsidR="0075283B" w:rsidRDefault="00000000">
      <w:pPr>
        <w:spacing w:before="60" w:after="60"/>
        <w:ind w:left="720" w:hanging="720"/>
      </w:pPr>
      <w:r>
        <w:rPr>
          <w:sz w:val="20"/>
          <w:szCs w:val="20"/>
        </w:rPr>
        <w:t>4. Wiviott SD, Braunwald E, McCabe CH, et al.; TRITON-TIMI 38 Investigators. Prasugrel versus clopidogrel in patients with acute coronary syndromes. N Engl J Med. 2007;357(20):2001–2015.</w:t>
      </w:r>
    </w:p>
    <w:p w14:paraId="7F5D35E2" w14:textId="77777777" w:rsidR="0075283B" w:rsidRDefault="00000000">
      <w:pPr>
        <w:spacing w:before="60" w:after="60"/>
        <w:ind w:left="720" w:hanging="720"/>
      </w:pPr>
      <w:r>
        <w:rPr>
          <w:sz w:val="20"/>
          <w:szCs w:val="20"/>
        </w:rPr>
        <w:t>5. Bhatt DL (StatPearls). Prasugrel. In: StatPearls [Internet]. Treasure Island (FL): StatPearls Publishing; 2023. Available from: https://www.ncbi.nlm.nih.gov/books/NBK557427/</w:t>
      </w:r>
    </w:p>
    <w:p w14:paraId="35E9103F" w14:textId="77777777" w:rsidR="0075283B" w:rsidRDefault="00000000">
      <w:pPr>
        <w:spacing w:before="60" w:after="60"/>
        <w:ind w:left="720" w:hanging="720"/>
      </w:pPr>
      <w:r>
        <w:rPr>
          <w:sz w:val="20"/>
          <w:szCs w:val="20"/>
        </w:rPr>
        <w:t>6. Shimada K, Hasegawa S, Nakao S, et al. Comparison of hemorrhagic risk between prasugrel and clopidogrel: a retrospective study using adverse drug event reporting databases. Int J Med Sci. 2020;17(6):728–735.</w:t>
      </w:r>
    </w:p>
    <w:p w14:paraId="4920FF27" w14:textId="77777777" w:rsidR="0075283B" w:rsidRDefault="00000000">
      <w:pPr>
        <w:spacing w:before="60" w:after="60"/>
        <w:ind w:left="720" w:hanging="720"/>
      </w:pPr>
      <w:r>
        <w:rPr>
          <w:sz w:val="20"/>
          <w:szCs w:val="20"/>
        </w:rPr>
        <w:t>7. Cherepanov V, Fortmann SD, Kim MH, et al. Annual adverse event profiles after clopidogrel, prasugrel, and ticagrelor in the Food and Drug Administration Adverse Event Reporting System. Eur Heart J Cardiovasc Pharmacother. 2018;4(2):69–71.</w:t>
      </w:r>
    </w:p>
    <w:p w14:paraId="11E952D6" w14:textId="77777777" w:rsidR="0075283B" w:rsidRDefault="00000000">
      <w:pPr>
        <w:spacing w:before="60" w:after="60"/>
        <w:ind w:left="720" w:hanging="720"/>
      </w:pPr>
      <w:r>
        <w:rPr>
          <w:sz w:val="20"/>
          <w:szCs w:val="20"/>
        </w:rPr>
        <w:lastRenderedPageBreak/>
        <w:t>8. U.S. Food and Drug Administration. FDA Adverse Event Reporting System (FAERS) Public Dashboard. Available from: https://www.fda.gov/drugs/questions-and-answers-fdas-adverse-event-reporting-system-faers/fda-adverse-event-reporting-system-faers-public-dashboard. Accessed March 30, 2026.</w:t>
      </w:r>
    </w:p>
    <w:p w14:paraId="3F1BA326" w14:textId="77777777" w:rsidR="0075283B" w:rsidRDefault="00000000">
      <w:pPr>
        <w:spacing w:before="60" w:after="60"/>
        <w:ind w:left="720" w:hanging="720"/>
      </w:pPr>
      <w:r>
        <w:rPr>
          <w:sz w:val="20"/>
          <w:szCs w:val="20"/>
        </w:rPr>
        <w:t>9. National Institutes of Health. Prasugrel. In: LiverTox: Clinical and Research Information on Drug-Induced Liver Injury. Bethesda: NCBI; 2020. Available from: https://www.ncbi.nlm.nih.gov/books/NBK547965/</w:t>
      </w:r>
    </w:p>
    <w:p w14:paraId="224EC69E" w14:textId="77777777" w:rsidR="0075283B" w:rsidRDefault="00000000">
      <w:pPr>
        <w:spacing w:before="60" w:after="60"/>
        <w:ind w:left="720" w:hanging="720"/>
      </w:pPr>
      <w:r>
        <w:rPr>
          <w:sz w:val="20"/>
          <w:szCs w:val="20"/>
        </w:rPr>
        <w:t>10. U.S. Food and Drug Administration. Effient (prasugrel) Prescribing Information. Lilly USA, LLC; 2010. Available from: https://www.accessdata.fda.gov/drugsatfda_docs/label/2010/022307s002lbl.pdf</w:t>
      </w:r>
    </w:p>
    <w:p w14:paraId="43265EC2" w14:textId="77777777" w:rsidR="0075283B" w:rsidRDefault="00000000">
      <w:pPr>
        <w:spacing w:before="60" w:after="60"/>
        <w:ind w:left="720" w:hanging="720"/>
      </w:pPr>
      <w:r>
        <w:rPr>
          <w:sz w:val="20"/>
          <w:szCs w:val="20"/>
        </w:rPr>
        <w:t>11. Medscape Reference. Prasugrel (Effient) Prescribing Information – Drug Interactions. Available from: https://reference.medscape.com/drug/effient-prasugrel-999200. Accessed March 30, 2026.</w:t>
      </w:r>
    </w:p>
    <w:p w14:paraId="320E1DA2" w14:textId="77777777" w:rsidR="0075283B" w:rsidRDefault="00000000">
      <w:pPr>
        <w:spacing w:before="60" w:after="60"/>
        <w:ind w:left="720" w:hanging="720"/>
      </w:pPr>
      <w:r>
        <w:rPr>
          <w:sz w:val="20"/>
          <w:szCs w:val="20"/>
        </w:rPr>
        <w:t>12. MedlinePlus. Prasugrel. U.S. National Library of Medicine. Available from: https://medlineplus.gov/druginfo/meds/a609027.html. Accessed March 30, 2026.</w:t>
      </w:r>
    </w:p>
    <w:p w14:paraId="62938B91" w14:textId="77777777" w:rsidR="0075283B" w:rsidRDefault="00000000">
      <w:pPr>
        <w:spacing w:before="60" w:after="60"/>
        <w:ind w:left="720" w:hanging="720"/>
      </w:pPr>
      <w:r>
        <w:rPr>
          <w:sz w:val="20"/>
          <w:szCs w:val="20"/>
        </w:rPr>
        <w:t>13. Mega JL, Braunwald E, Wiviott SD, et al. Rivaroxaban in patients with a recent acute coronary syndrome. N Engl J Med. 2012;366(1):9–19. [Context: age-stratified bleeding risk in ACS populations]</w:t>
      </w:r>
    </w:p>
    <w:p w14:paraId="515E30F6" w14:textId="77777777" w:rsidR="0075283B" w:rsidRDefault="00000000">
      <w:pPr>
        <w:spacing w:before="60" w:after="60"/>
        <w:ind w:left="720" w:hanging="720"/>
      </w:pPr>
      <w:r>
        <w:rPr>
          <w:sz w:val="20"/>
          <w:szCs w:val="20"/>
        </w:rPr>
        <w:t>14. Montalescot G, Sabatine MS. Antiplatelet therapy in acute coronary syndromes: quo vadis? Eur Heart J. 2014;35(18):1180–1186.</w:t>
      </w:r>
    </w:p>
    <w:p w14:paraId="25892DCD" w14:textId="77777777" w:rsidR="0075283B" w:rsidRDefault="00000000">
      <w:pPr>
        <w:spacing w:before="60" w:after="60"/>
        <w:ind w:left="720" w:hanging="720"/>
      </w:pPr>
      <w:r>
        <w:rPr>
          <w:sz w:val="20"/>
          <w:szCs w:val="20"/>
        </w:rPr>
        <w:t>15. Frontiers in Pharmacology. A disproportionality analysis of FDA Adverse Event Reporting System (FAERS) events for ticagrelor. Front Pharmacol. 2024;15:1251961. [Reference for FAERS methodology in P2Y12 inhibitor analysis]</w:t>
      </w:r>
    </w:p>
    <w:sectPr w:rsidR="0075283B">
      <w:pgSz w:w="12240" w:h="15840"/>
      <w:pgMar w:top="1440" w:right="1260" w:bottom="1440" w:left="1260" w:header="708" w:footer="7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A466910"/>
    <w:multiLevelType w:val="hybridMultilevel"/>
    <w:tmpl w:val="D4A68534"/>
    <w:lvl w:ilvl="0" w:tplc="A1E2EDFE">
      <w:start w:val="1"/>
      <w:numFmt w:val="bullet"/>
      <w:lvlText w:val="●"/>
      <w:lvlJc w:val="left"/>
      <w:pPr>
        <w:ind w:left="720" w:hanging="360"/>
      </w:pPr>
    </w:lvl>
    <w:lvl w:ilvl="1" w:tplc="EF02B498">
      <w:start w:val="1"/>
      <w:numFmt w:val="bullet"/>
      <w:lvlText w:val="○"/>
      <w:lvlJc w:val="left"/>
      <w:pPr>
        <w:ind w:left="1440" w:hanging="360"/>
      </w:pPr>
    </w:lvl>
    <w:lvl w:ilvl="2" w:tplc="BC0CAE46">
      <w:start w:val="1"/>
      <w:numFmt w:val="bullet"/>
      <w:lvlText w:val="■"/>
      <w:lvlJc w:val="left"/>
      <w:pPr>
        <w:ind w:left="2160" w:hanging="360"/>
      </w:pPr>
    </w:lvl>
    <w:lvl w:ilvl="3" w:tplc="343E8730">
      <w:start w:val="1"/>
      <w:numFmt w:val="bullet"/>
      <w:lvlText w:val="●"/>
      <w:lvlJc w:val="left"/>
      <w:pPr>
        <w:ind w:left="2880" w:hanging="360"/>
      </w:pPr>
    </w:lvl>
    <w:lvl w:ilvl="4" w:tplc="DD5477FC">
      <w:start w:val="1"/>
      <w:numFmt w:val="bullet"/>
      <w:lvlText w:val="○"/>
      <w:lvlJc w:val="left"/>
      <w:pPr>
        <w:ind w:left="3600" w:hanging="360"/>
      </w:pPr>
    </w:lvl>
    <w:lvl w:ilvl="5" w:tplc="6FB8612E">
      <w:start w:val="1"/>
      <w:numFmt w:val="bullet"/>
      <w:lvlText w:val="■"/>
      <w:lvlJc w:val="left"/>
      <w:pPr>
        <w:ind w:left="4320" w:hanging="360"/>
      </w:pPr>
    </w:lvl>
    <w:lvl w:ilvl="6" w:tplc="BBE6204A">
      <w:start w:val="1"/>
      <w:numFmt w:val="bullet"/>
      <w:lvlText w:val="●"/>
      <w:lvlJc w:val="left"/>
      <w:pPr>
        <w:ind w:left="5040" w:hanging="360"/>
      </w:pPr>
    </w:lvl>
    <w:lvl w:ilvl="7" w:tplc="FA74FB34">
      <w:start w:val="1"/>
      <w:numFmt w:val="bullet"/>
      <w:lvlText w:val="●"/>
      <w:lvlJc w:val="left"/>
      <w:pPr>
        <w:ind w:left="5760" w:hanging="360"/>
      </w:pPr>
    </w:lvl>
    <w:lvl w:ilvl="8" w:tplc="B5286102">
      <w:start w:val="1"/>
      <w:numFmt w:val="bullet"/>
      <w:lvlText w:val="●"/>
      <w:lvlJc w:val="left"/>
      <w:pPr>
        <w:ind w:left="6480" w:hanging="360"/>
      </w:pPr>
    </w:lvl>
  </w:abstractNum>
  <w:num w:numId="1" w16cid:durableId="1755972820">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283B"/>
    <w:rsid w:val="003142C2"/>
    <w:rsid w:val="0075283B"/>
    <w:rsid w:val="00A674A6"/>
    <w:rsid w:val="00FA1B1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7DAC71"/>
  <w15:docId w15:val="{D34A05BA-FE2A-4B30-A0DF-A1A8768F38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spacing w:before="400" w:after="160"/>
      <w:outlineLvl w:val="0"/>
    </w:pPr>
    <w:rPr>
      <w:b/>
      <w:bCs/>
      <w:color w:val="1F4E79"/>
      <w:sz w:val="28"/>
      <w:szCs w:val="28"/>
    </w:rPr>
  </w:style>
  <w:style w:type="paragraph" w:styleId="Heading2">
    <w:name w:val="heading 2"/>
    <w:uiPriority w:val="9"/>
    <w:unhideWhenUsed/>
    <w:qFormat/>
    <w:pPr>
      <w:spacing w:before="300" w:after="120"/>
      <w:outlineLvl w:val="1"/>
    </w:pPr>
    <w:rPr>
      <w:b/>
      <w:bCs/>
      <w:color w:val="2E75B6"/>
      <w:sz w:val="24"/>
      <w:szCs w:val="24"/>
    </w:rPr>
  </w:style>
  <w:style w:type="paragraph" w:styleId="Heading3">
    <w:name w:val="heading 3"/>
    <w:uiPriority w:val="9"/>
    <w:semiHidden/>
    <w:unhideWhenUsed/>
    <w:qFormat/>
    <w:pPr>
      <w:outlineLvl w:val="2"/>
    </w:pPr>
    <w:rPr>
      <w:color w:val="1F4D78"/>
      <w:sz w:val="24"/>
      <w:szCs w:val="24"/>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rPr>
      <w:sz w:val="20"/>
      <w:szCs w:val="20"/>
    </w:rPr>
  </w:style>
  <w:style w:type="character" w:customStyle="1" w:styleId="FootnoteTextChar">
    <w:name w:val="Footnote Text Char"/>
    <w:link w:val="FootnoteText"/>
    <w:uiPriority w:val="99"/>
    <w:semiHidden/>
    <w:unhideWhenUsed/>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3290</Words>
  <Characters>18757</Characters>
  <Application>Microsoft Office Word</Application>
  <DocSecurity>0</DocSecurity>
  <Lines>156</Lines>
  <Paragraphs>44</Paragraphs>
  <ScaleCrop>false</ScaleCrop>
  <Company/>
  <LinksUpToDate>false</LinksUpToDate>
  <CharactersWithSpaces>22003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Nehad Ahmed</cp:lastModifiedBy>
  <cp:revision>3</cp:revision>
  <dcterms:created xsi:type="dcterms:W3CDTF">2026-03-31T06:38:00Z</dcterms:created>
  <dcterms:modified xsi:type="dcterms:W3CDTF">2026-03-31T06:39:00Z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8630f0a6-76a5-4068-8859-eeb980bd92b6</vt:lpwstr>
  </property>
</Properties>
</file>